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jc w:val="left"/>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jc w:val="left"/>
        <w:rPr>
          <w:rFonts w:hint="eastAsia"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hint="eastAsia"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hint="eastAsia"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hint="eastAsia" w:ascii="黑体" w:hAnsi="宋体" w:eastAsia="黑体" w:cs="宋体"/>
          <w:kern w:val="0"/>
          <w:sz w:val="28"/>
          <w:szCs w:val="28"/>
        </w:rPr>
      </w:pPr>
    </w:p>
    <w:p>
      <w:pPr>
        <w:keepNext w:val="0"/>
        <w:keepLines w:val="0"/>
        <w:pageBreakBefore w:val="0"/>
        <w:widowControl/>
        <w:kinsoku/>
        <w:wordWrap/>
        <w:overflowPunct/>
        <w:topLinePunct w:val="0"/>
        <w:autoSpaceDE/>
        <w:autoSpaceDN/>
        <w:bidi w:val="0"/>
        <w:jc w:val="left"/>
        <w:rPr>
          <w:rFonts w:hint="eastAsia" w:ascii="黑体" w:hAnsi="宋体" w:eastAsia="黑体" w:cs="宋体"/>
          <w:kern w:val="0"/>
          <w:sz w:val="28"/>
          <w:szCs w:val="28"/>
        </w:rPr>
      </w:pPr>
    </w:p>
    <w:p>
      <w:pPr>
        <w:keepNext w:val="0"/>
        <w:keepLines w:val="0"/>
        <w:pageBreakBefore w:val="0"/>
        <w:kinsoku/>
        <w:wordWrap/>
        <w:overflowPunct/>
        <w:topLinePunct w:val="0"/>
        <w:autoSpaceDE/>
        <w:autoSpaceDN/>
        <w:bidi w:val="0"/>
        <w:jc w:val="center"/>
        <w:rPr>
          <w:rFonts w:hint="eastAsia" w:ascii="黑体" w:hAnsi="黑体" w:eastAsia="黑体" w:cs="黑体"/>
          <w:sz w:val="52"/>
          <w:szCs w:val="52"/>
          <w:lang w:val="en-US" w:eastAsia="zh-CN"/>
        </w:rPr>
      </w:pPr>
      <w:r>
        <w:rPr>
          <w:rFonts w:hint="eastAsia" w:ascii="黑体" w:hAnsi="黑体" w:eastAsia="黑体" w:cs="黑体"/>
          <w:sz w:val="52"/>
          <w:szCs w:val="52"/>
        </w:rPr>
        <w:t>焦作市中级人民法院</w:t>
      </w:r>
      <w:r>
        <w:rPr>
          <w:rFonts w:hint="eastAsia" w:ascii="黑体" w:hAnsi="黑体" w:eastAsia="黑体" w:cs="黑体"/>
          <w:sz w:val="52"/>
          <w:szCs w:val="52"/>
          <w:lang w:eastAsia="zh-CN"/>
        </w:rPr>
        <w:t>（汇总）</w:t>
      </w:r>
    </w:p>
    <w:p>
      <w:pPr>
        <w:keepNext w:val="0"/>
        <w:keepLines w:val="0"/>
        <w:pageBreakBefore w:val="0"/>
        <w:kinsoku/>
        <w:wordWrap/>
        <w:overflowPunct/>
        <w:topLinePunct w:val="0"/>
        <w:autoSpaceDE/>
        <w:autoSpaceDN/>
        <w:bidi w:val="0"/>
        <w:jc w:val="center"/>
        <w:rPr>
          <w:rFonts w:hint="eastAsia" w:ascii="黑体" w:hAnsi="黑体" w:eastAsia="黑体" w:cs="黑体"/>
          <w:sz w:val="52"/>
          <w:szCs w:val="52"/>
        </w:rPr>
      </w:pPr>
      <w:r>
        <w:rPr>
          <w:rFonts w:hint="eastAsia" w:ascii="黑体" w:hAnsi="黑体" w:eastAsia="黑体" w:cs="黑体"/>
          <w:sz w:val="52"/>
          <w:szCs w:val="52"/>
        </w:rPr>
        <w:t>201</w:t>
      </w:r>
      <w:r>
        <w:rPr>
          <w:rFonts w:hint="eastAsia" w:ascii="黑体" w:hAnsi="黑体" w:eastAsia="黑体" w:cs="黑体"/>
          <w:sz w:val="52"/>
          <w:szCs w:val="52"/>
          <w:lang w:val="en-US" w:eastAsia="zh-CN"/>
        </w:rPr>
        <w:t>9</w:t>
      </w:r>
      <w:r>
        <w:rPr>
          <w:rFonts w:hint="eastAsia" w:ascii="黑体" w:hAnsi="黑体" w:eastAsia="黑体" w:cs="黑体"/>
          <w:sz w:val="52"/>
          <w:szCs w:val="52"/>
        </w:rPr>
        <w:t>年度部门</w:t>
      </w:r>
      <w:r>
        <w:rPr>
          <w:rFonts w:hint="eastAsia" w:ascii="黑体" w:hAnsi="黑体" w:eastAsia="黑体" w:cs="黑体"/>
          <w:sz w:val="52"/>
          <w:szCs w:val="52"/>
          <w:lang w:eastAsia="zh-CN"/>
        </w:rPr>
        <w:t>预</w:t>
      </w:r>
      <w:r>
        <w:rPr>
          <w:rFonts w:hint="eastAsia" w:ascii="黑体" w:hAnsi="黑体" w:eastAsia="黑体" w:cs="黑体"/>
          <w:sz w:val="52"/>
          <w:szCs w:val="52"/>
        </w:rPr>
        <w:t>算</w:t>
      </w:r>
    </w:p>
    <w:p>
      <w:pPr>
        <w:keepNext w:val="0"/>
        <w:keepLines w:val="0"/>
        <w:pageBreakBefore w:val="0"/>
        <w:kinsoku/>
        <w:wordWrap/>
        <w:overflowPunct/>
        <w:topLinePunct w:val="0"/>
        <w:autoSpaceDE/>
        <w:autoSpaceDN/>
        <w:bidi w:val="0"/>
        <w:jc w:val="center"/>
        <w:rPr>
          <w:rFonts w:hint="eastAsia" w:ascii="黑体" w:hAnsi="黑体" w:eastAsia="黑体" w:cs="黑体"/>
          <w:sz w:val="52"/>
          <w:szCs w:val="52"/>
        </w:rPr>
      </w:pPr>
    </w:p>
    <w:p>
      <w:pPr>
        <w:keepNext w:val="0"/>
        <w:keepLines w:val="0"/>
        <w:pageBreakBefore w:val="0"/>
        <w:kinsoku/>
        <w:wordWrap/>
        <w:overflowPunct/>
        <w:topLinePunct w:val="0"/>
        <w:autoSpaceDE/>
        <w:autoSpaceDN/>
        <w:bidi w:val="0"/>
        <w:jc w:val="center"/>
        <w:rPr>
          <w:rFonts w:hint="eastAsia" w:ascii="黑体" w:hAnsi="黑体" w:eastAsia="黑体" w:cs="黑体"/>
          <w:sz w:val="52"/>
          <w:szCs w:val="52"/>
        </w:rPr>
      </w:pPr>
    </w:p>
    <w:p>
      <w:pPr>
        <w:keepNext w:val="0"/>
        <w:keepLines w:val="0"/>
        <w:pageBreakBefore w:val="0"/>
        <w:kinsoku/>
        <w:wordWrap/>
        <w:overflowPunct/>
        <w:topLinePunct w:val="0"/>
        <w:autoSpaceDE/>
        <w:autoSpaceDN/>
        <w:bidi w:val="0"/>
        <w:jc w:val="center"/>
        <w:rPr>
          <w:rFonts w:hint="eastAsia" w:ascii="黑体" w:hAnsi="黑体" w:eastAsia="黑体" w:cs="黑体"/>
          <w:sz w:val="52"/>
          <w:szCs w:val="52"/>
        </w:rPr>
      </w:pPr>
    </w:p>
    <w:p>
      <w:pPr>
        <w:keepNext w:val="0"/>
        <w:keepLines w:val="0"/>
        <w:pageBreakBefore w:val="0"/>
        <w:kinsoku/>
        <w:wordWrap/>
        <w:overflowPunct/>
        <w:topLinePunct w:val="0"/>
        <w:autoSpaceDE/>
        <w:autoSpaceDN/>
        <w:bidi w:val="0"/>
        <w:jc w:val="center"/>
        <w:rPr>
          <w:rFonts w:hint="eastAsia" w:ascii="黑体" w:hAnsi="黑体" w:eastAsia="黑体" w:cs="黑体"/>
          <w:sz w:val="52"/>
          <w:szCs w:val="52"/>
        </w:rPr>
      </w:pPr>
    </w:p>
    <w:p>
      <w:pPr>
        <w:keepNext w:val="0"/>
        <w:keepLines w:val="0"/>
        <w:pageBreakBefore w:val="0"/>
        <w:kinsoku/>
        <w:wordWrap/>
        <w:overflowPunct/>
        <w:topLinePunct w:val="0"/>
        <w:autoSpaceDE/>
        <w:autoSpaceDN/>
        <w:bidi w:val="0"/>
        <w:jc w:val="center"/>
        <w:rPr>
          <w:rFonts w:hint="eastAsia" w:ascii="黑体" w:hAnsi="黑体" w:eastAsia="黑体" w:cs="黑体"/>
          <w:sz w:val="32"/>
          <w:szCs w:val="32"/>
          <w:lang w:val="en-US" w:eastAsia="zh-CN"/>
        </w:rPr>
      </w:pPr>
      <w:r>
        <w:rPr>
          <w:rFonts w:ascii="宋体" w:hAnsi="宋体" w:eastAsia="宋体" w:cs="宋体"/>
          <w:sz w:val="32"/>
          <w:szCs w:val="32"/>
        </w:rPr>
        <w:t>二〇一</w:t>
      </w:r>
      <w:r>
        <w:rPr>
          <w:rFonts w:hint="eastAsia" w:ascii="宋体" w:hAnsi="宋体" w:eastAsia="宋体" w:cs="宋体"/>
          <w:sz w:val="32"/>
          <w:szCs w:val="32"/>
          <w:lang w:eastAsia="zh-CN"/>
        </w:rPr>
        <w:t>九</w:t>
      </w:r>
      <w:r>
        <w:rPr>
          <w:rFonts w:ascii="宋体" w:hAnsi="宋体" w:eastAsia="宋体" w:cs="宋体"/>
          <w:sz w:val="32"/>
          <w:szCs w:val="32"/>
        </w:rPr>
        <w:t>年</w:t>
      </w:r>
      <w:r>
        <w:rPr>
          <w:rFonts w:hint="eastAsia" w:ascii="宋体" w:hAnsi="宋体" w:eastAsia="宋体" w:cs="宋体"/>
          <w:sz w:val="32"/>
          <w:szCs w:val="32"/>
          <w:lang w:eastAsia="zh-CN"/>
        </w:rPr>
        <w:t>三</w:t>
      </w:r>
      <w:r>
        <w:rPr>
          <w:rFonts w:ascii="宋体" w:hAnsi="宋体" w:eastAsia="宋体" w:cs="宋体"/>
          <w:sz w:val="32"/>
          <w:szCs w:val="32"/>
        </w:rPr>
        <w:t>月</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val="0"/>
        <w:snapToGrid w:val="0"/>
        <w:spacing w:line="360" w:lineRule="auto"/>
        <w:jc w:val="both"/>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val="0"/>
        <w:snapToGrid w:val="0"/>
        <w:spacing w:line="360" w:lineRule="auto"/>
        <w:ind w:left="101" w:right="3569" w:firstLine="624"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left="-142" w:right="51" w:firstLine="30" w:firstLineChars="7"/>
        <w:jc w:val="center"/>
        <w:rPr>
          <w:rFonts w:hint="eastAsia" w:ascii="仿宋_GB2312" w:hAnsi="仿宋_GB2312" w:eastAsia="仿宋_GB2312" w:cs="仿宋_GB2312"/>
          <w:sz w:val="44"/>
          <w:szCs w:val="44"/>
        </w:rPr>
      </w:pPr>
      <w:r>
        <w:rPr>
          <w:rFonts w:hint="eastAsia" w:ascii="仿宋_GB2312" w:hAnsi="仿宋_GB2312" w:eastAsia="仿宋_GB2312" w:cs="仿宋_GB2312"/>
          <w:b/>
          <w:bCs/>
          <w:sz w:val="44"/>
          <w:szCs w:val="44"/>
        </w:rPr>
        <w:t>目</w:t>
      </w:r>
      <w:r>
        <w:rPr>
          <w:rFonts w:hint="eastAsia" w:ascii="仿宋_GB2312" w:hAnsi="仿宋_GB2312" w:eastAsia="仿宋_GB2312" w:cs="仿宋_GB2312"/>
          <w:b/>
          <w:bCs/>
          <w:spacing w:val="2"/>
          <w:sz w:val="44"/>
          <w:szCs w:val="44"/>
        </w:rPr>
        <w:t xml:space="preserve"> </w:t>
      </w:r>
      <w:r>
        <w:rPr>
          <w:rFonts w:hint="eastAsia" w:ascii="仿宋_GB2312" w:hAnsi="仿宋_GB2312" w:eastAsia="仿宋_GB2312" w:cs="仿宋_GB2312"/>
          <w:b/>
          <w:bCs/>
          <w:sz w:val="44"/>
          <w:szCs w:val="44"/>
        </w:rPr>
        <w:t>录</w:t>
      </w:r>
    </w:p>
    <w:p>
      <w:pPr>
        <w:keepNext w:val="0"/>
        <w:keepLines w:val="0"/>
        <w:pageBreakBefore w:val="0"/>
        <w:kinsoku/>
        <w:wordWrap/>
        <w:overflowPunct/>
        <w:topLinePunct w:val="0"/>
        <w:autoSpaceDE/>
        <w:autoSpaceDN/>
        <w:bidi w:val="0"/>
        <w:adjustRightInd w:val="0"/>
        <w:snapToGrid w:val="0"/>
        <w:spacing w:line="360" w:lineRule="auto"/>
        <w:ind w:right="3569" w:firstLine="624" w:firstLineChars="200"/>
        <w:rPr>
          <w:rFonts w:hint="eastAsia" w:ascii="仿宋_GB2312" w:hAnsi="仿宋_GB2312" w:eastAsia="仿宋_GB2312" w:cs="仿宋_GB2312"/>
          <w:w w:val="99"/>
          <w:sz w:val="32"/>
          <w:szCs w:val="32"/>
        </w:rPr>
      </w:pPr>
      <w:r>
        <w:rPr>
          <w:rFonts w:hint="eastAsia" w:ascii="仿宋_GB2312" w:hAnsi="仿宋_GB2312" w:eastAsia="仿宋_GB2312" w:cs="仿宋_GB2312"/>
          <w:b/>
          <w:bCs/>
          <w:sz w:val="32"/>
          <w:szCs w:val="32"/>
        </w:rPr>
        <w:t xml:space="preserve">第一部分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概况</w:t>
      </w:r>
      <w:r>
        <w:rPr>
          <w:rFonts w:hint="eastAsia" w:ascii="仿宋_GB2312" w:hAnsi="仿宋_GB2312" w:eastAsia="仿宋_GB2312" w:cs="仿宋_GB2312"/>
          <w:w w:val="99"/>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right="3569" w:firstLine="936"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eepNext w:val="0"/>
        <w:keepLines w:val="0"/>
        <w:pageBreakBefore w:val="0"/>
        <w:kinsoku/>
        <w:wordWrap/>
        <w:overflowPunct/>
        <w:topLinePunct w:val="0"/>
        <w:autoSpaceDE/>
        <w:autoSpaceDN/>
        <w:bidi w:val="0"/>
        <w:adjustRightInd w:val="0"/>
        <w:snapToGrid w:val="0"/>
        <w:spacing w:line="360" w:lineRule="auto"/>
        <w:ind w:right="3569" w:firstLine="936"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eepNext w:val="0"/>
        <w:keepLines w:val="0"/>
        <w:pageBreakBefore w:val="0"/>
        <w:kinsoku/>
        <w:wordWrap/>
        <w:overflowPunct/>
        <w:topLinePunct w:val="0"/>
        <w:autoSpaceDE/>
        <w:autoSpaceDN/>
        <w:bidi w:val="0"/>
        <w:adjustRightInd w:val="0"/>
        <w:snapToGrid w:val="0"/>
        <w:spacing w:line="360" w:lineRule="auto"/>
        <w:ind w:right="521" w:firstLine="624"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第二部分 焦作市中级人民法院2019年部门预算情况说明</w:t>
      </w:r>
    </w:p>
    <w:p>
      <w:pPr>
        <w:keepNext w:val="0"/>
        <w:keepLines w:val="0"/>
        <w:pageBreakBefore w:val="0"/>
        <w:kinsoku/>
        <w:wordWrap/>
        <w:overflowPunct/>
        <w:topLinePunct w:val="0"/>
        <w:autoSpaceDE/>
        <w:autoSpaceDN/>
        <w:bidi w:val="0"/>
        <w:adjustRightInd w:val="0"/>
        <w:snapToGrid w:val="0"/>
        <w:spacing w:line="360" w:lineRule="auto"/>
        <w:ind w:right="521" w:firstLine="624"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第三部分 名词解释</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z w:val="32"/>
          <w:szCs w:val="32"/>
          <w:lang w:val="en-US" w:eastAsia="zh-CN"/>
        </w:rPr>
        <w:t xml:space="preserve"> 部门2019</w:t>
      </w:r>
      <w:r>
        <w:rPr>
          <w:rFonts w:hint="eastAsia" w:ascii="仿宋_GB2312" w:hAnsi="仿宋_GB2312" w:eastAsia="仿宋_GB2312" w:cs="仿宋_GB2312"/>
          <w:sz w:val="32"/>
          <w:szCs w:val="32"/>
        </w:rPr>
        <w:t>年度部门预算表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九、国有资本经营预算收支情况表</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w:t>
      </w:r>
    </w:p>
    <w:p>
      <w:pPr>
        <w:keepNext w:val="0"/>
        <w:keepLines w:val="0"/>
        <w:pageBreakBefore w:val="0"/>
        <w:kinsoku/>
        <w:wordWrap/>
        <w:overflowPunct/>
        <w:topLinePunct w:val="0"/>
        <w:autoSpaceDE/>
        <w:autoSpaceDN/>
        <w:bidi w:val="0"/>
        <w:adjustRightInd w:val="0"/>
        <w:snapToGrid w:val="0"/>
        <w:spacing w:line="360" w:lineRule="auto"/>
        <w:ind w:right="51" w:firstLine="1872" w:firstLine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十一、预算项目支出绩效目标表</w:t>
      </w:r>
    </w:p>
    <w:p>
      <w:pPr>
        <w:keepNext w:val="0"/>
        <w:keepLines w:val="0"/>
        <w:pageBreakBefore w:val="0"/>
        <w:kinsoku/>
        <w:wordWrap/>
        <w:overflowPunct/>
        <w:topLinePunct w:val="0"/>
        <w:autoSpaceDE/>
        <w:autoSpaceDN/>
        <w:bidi w:val="0"/>
        <w:adjustRightInd w:val="0"/>
        <w:snapToGrid w:val="0"/>
        <w:spacing w:line="360" w:lineRule="auto"/>
        <w:ind w:firstLine="3744" w:firstLineChars="1200"/>
        <w:jc w:val="both"/>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3744" w:firstLineChars="1200"/>
        <w:jc w:val="both"/>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3744" w:firstLineChars="1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焦作市中级人民法院概况</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center"/>
        <w:rPr>
          <w:rFonts w:hint="eastAsia" w:ascii="仿宋_GB2312" w:hAnsi="仿宋_GB2312" w:eastAsia="仿宋_GB2312" w:cs="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624"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主要职能</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right="3569" w:rightChars="0" w:firstLine="624"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机构设置情况</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焦作市中级人民法院内设</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个庭（处、室、队），共有在编人员</w:t>
      </w:r>
      <w:r>
        <w:rPr>
          <w:rFonts w:hint="eastAsia" w:ascii="仿宋_GB2312" w:hAnsi="仿宋_GB2312" w:eastAsia="仿宋_GB2312" w:cs="仿宋_GB2312"/>
          <w:sz w:val="32"/>
          <w:szCs w:val="32"/>
          <w:highlight w:val="none"/>
          <w:lang w:val="en-US" w:eastAsia="zh-CN"/>
        </w:rPr>
        <w:t>208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另有聘用制人员</w:t>
      </w:r>
      <w:r>
        <w:rPr>
          <w:rFonts w:hint="eastAsia" w:ascii="仿宋_GB2312" w:hAnsi="仿宋_GB2312" w:eastAsia="仿宋_GB2312" w:cs="仿宋_GB2312"/>
          <w:sz w:val="32"/>
          <w:szCs w:val="32"/>
          <w:highlight w:val="none"/>
          <w:lang w:val="en-US" w:eastAsia="zh-CN"/>
        </w:rPr>
        <w:t>151</w:t>
      </w:r>
      <w:r>
        <w:rPr>
          <w:rFonts w:hint="default" w:ascii="仿宋_GB2312" w:hAnsi="仿宋_GB2312" w:eastAsia="仿宋_GB2312" w:cs="仿宋_GB2312"/>
          <w:sz w:val="32"/>
          <w:szCs w:val="32"/>
        </w:rPr>
        <w:t>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焦作市中级人民法院机关后勤服务中心是焦作市中级人民法院下属的</w:t>
      </w:r>
      <w:r>
        <w:rPr>
          <w:rFonts w:hint="eastAsia" w:ascii="仿宋_GB2312" w:hAnsi="仿宋_GB2312" w:eastAsia="仿宋_GB2312" w:cs="仿宋_GB2312"/>
          <w:sz w:val="32"/>
          <w:szCs w:val="32"/>
          <w:lang w:eastAsia="zh-CN"/>
        </w:rPr>
        <w:t>二级机构</w:t>
      </w:r>
      <w:r>
        <w:rPr>
          <w:rFonts w:hint="default" w:ascii="仿宋_GB2312" w:hAnsi="仿宋_GB2312" w:eastAsia="仿宋_GB2312" w:cs="仿宋_GB2312"/>
          <w:sz w:val="32"/>
          <w:szCs w:val="32"/>
        </w:rPr>
        <w:t>，事业编制数20人，实有19人，其中副科实职3人，科员及以下16人；另有聘用制人员</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rPr>
        <w:t>人。</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焦作市中级人民法院诉讼服务中心是焦作市中级人民法院下属的二级机构，事业编制数22人，实有17人，其中副科实职3人，科员及以下14人。</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right="3569" w:rightChars="0" w:firstLine="624"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部门职责</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left"/>
        <w:rPr>
          <w:rFonts w:ascii="仿宋_GB2312" w:hAnsi="仿宋_GB2312" w:eastAsia="仿宋_GB2312" w:cs="仿宋_GB2312"/>
          <w:sz w:val="32"/>
          <w:szCs w:val="32"/>
        </w:rPr>
      </w:pPr>
      <w:r>
        <w:rPr>
          <w:rFonts w:hint="eastAsia" w:ascii="仿宋" w:hAnsi="仿宋" w:eastAsia="仿宋" w:cs="仿宋_GB2312"/>
          <w:sz w:val="32"/>
          <w:szCs w:val="32"/>
        </w:rPr>
        <w:t>河南省焦作市中级人民法院本级是国家审判机关，依法独立行使审判权，监督和指导辖区内各基层法院的审判工作，接受上级法院的监督和指导，对焦作市人民代表大会及其常务委员会负责并报告工作。其主要职责：</w:t>
      </w:r>
      <w:r>
        <w:rPr>
          <w:rFonts w:ascii="仿宋" w:hAnsi="仿宋" w:eastAsia="仿宋" w:cs="仿宋_GB2312"/>
          <w:sz w:val="32"/>
          <w:szCs w:val="32"/>
        </w:rPr>
        <w:t>(1)</w:t>
      </w:r>
      <w:r>
        <w:rPr>
          <w:rFonts w:hint="eastAsia" w:ascii="仿宋" w:hAnsi="仿宋" w:eastAsia="仿宋" w:cs="仿宋_GB2312"/>
          <w:sz w:val="32"/>
          <w:szCs w:val="32"/>
        </w:rPr>
        <w:t>审判法律规定的由焦作市中级人民法院管辖的第一审刑事、民事、行政等案件。</w:t>
      </w:r>
      <w:r>
        <w:rPr>
          <w:rFonts w:ascii="仿宋" w:hAnsi="仿宋" w:eastAsia="仿宋" w:cs="仿宋_GB2312"/>
          <w:sz w:val="32"/>
          <w:szCs w:val="32"/>
        </w:rPr>
        <w:t>(2)</w:t>
      </w:r>
      <w:r>
        <w:rPr>
          <w:rFonts w:hint="eastAsia" w:ascii="仿宋" w:hAnsi="仿宋" w:eastAsia="仿宋" w:cs="仿宋_GB2312"/>
          <w:sz w:val="32"/>
          <w:szCs w:val="32"/>
        </w:rPr>
        <w:t>依法审判对基层法院判决和裁定提出上诉和抗诉的案件。</w:t>
      </w:r>
      <w:r>
        <w:rPr>
          <w:rFonts w:ascii="仿宋" w:hAnsi="仿宋" w:eastAsia="仿宋" w:cs="仿宋_GB2312"/>
          <w:sz w:val="32"/>
          <w:szCs w:val="32"/>
        </w:rPr>
        <w:t>(3)</w:t>
      </w:r>
      <w:r>
        <w:rPr>
          <w:rFonts w:hint="eastAsia" w:ascii="仿宋" w:hAnsi="仿宋" w:eastAsia="仿宋" w:cs="仿宋_GB2312"/>
          <w:sz w:val="32"/>
          <w:szCs w:val="32"/>
        </w:rPr>
        <w:t>受理不服焦作市中级人民法院和全市基层人民法院各类生效裁判的申诉和再审申请案件，对其中确有错误的，进行再审审理。</w:t>
      </w:r>
      <w:r>
        <w:rPr>
          <w:rFonts w:ascii="仿宋" w:hAnsi="仿宋" w:eastAsia="仿宋" w:cs="仿宋_GB2312"/>
          <w:sz w:val="32"/>
          <w:szCs w:val="32"/>
        </w:rPr>
        <w:t>(4)</w:t>
      </w:r>
      <w:r>
        <w:rPr>
          <w:rFonts w:hint="eastAsia" w:ascii="仿宋" w:hAnsi="仿宋" w:eastAsia="仿宋" w:cs="仿宋_GB2312"/>
          <w:sz w:val="32"/>
          <w:szCs w:val="32"/>
        </w:rPr>
        <w:t>依法审判由焦作市人民检察院按照审判监督程序提出的抗诉案件。</w:t>
      </w:r>
      <w:r>
        <w:rPr>
          <w:rFonts w:ascii="仿宋" w:hAnsi="仿宋" w:eastAsia="仿宋" w:cs="仿宋_GB2312"/>
          <w:sz w:val="32"/>
          <w:szCs w:val="32"/>
        </w:rPr>
        <w:t>(5)</w:t>
      </w:r>
      <w:r>
        <w:rPr>
          <w:rFonts w:hint="eastAsia" w:ascii="仿宋" w:hAnsi="仿宋" w:eastAsia="仿宋" w:cs="仿宋_GB2312"/>
          <w:sz w:val="32"/>
          <w:szCs w:val="32"/>
        </w:rPr>
        <w:t>依法对基层人民法院行使案件指定管辖权。</w:t>
      </w:r>
      <w:r>
        <w:rPr>
          <w:rFonts w:ascii="仿宋" w:hAnsi="仿宋" w:eastAsia="仿宋" w:cs="仿宋_GB2312"/>
          <w:sz w:val="32"/>
          <w:szCs w:val="32"/>
        </w:rPr>
        <w:t>(6)</w:t>
      </w:r>
      <w:r>
        <w:rPr>
          <w:rFonts w:hint="eastAsia" w:ascii="仿宋" w:hAnsi="仿宋" w:eastAsia="仿宋" w:cs="仿宋_GB2312"/>
          <w:sz w:val="32"/>
          <w:szCs w:val="32"/>
        </w:rPr>
        <w:t>监督、指导基层人民法院的审判工作。</w:t>
      </w:r>
      <w:r>
        <w:rPr>
          <w:rFonts w:ascii="仿宋" w:hAnsi="仿宋" w:eastAsia="仿宋" w:cs="仿宋_GB2312"/>
          <w:sz w:val="32"/>
          <w:szCs w:val="32"/>
        </w:rPr>
        <w:t>(7)</w:t>
      </w:r>
      <w:r>
        <w:rPr>
          <w:rFonts w:hint="eastAsia" w:ascii="仿宋" w:hAnsi="仿宋" w:eastAsia="仿宋" w:cs="仿宋_GB2312"/>
          <w:sz w:val="32"/>
          <w:szCs w:val="32"/>
        </w:rPr>
        <w:t>依法行使司法执行权和司法决定权。</w:t>
      </w:r>
      <w:r>
        <w:rPr>
          <w:rFonts w:ascii="仿宋" w:hAnsi="仿宋" w:eastAsia="仿宋" w:cs="仿宋_GB2312"/>
          <w:sz w:val="32"/>
          <w:szCs w:val="32"/>
        </w:rPr>
        <w:t>(8)</w:t>
      </w:r>
      <w:r>
        <w:rPr>
          <w:rFonts w:hint="eastAsia" w:ascii="仿宋" w:hAnsi="仿宋" w:eastAsia="仿宋" w:cs="仿宋_GB2312"/>
          <w:sz w:val="32"/>
          <w:szCs w:val="32"/>
        </w:rPr>
        <w:t>依法决定国家赔偿。</w:t>
      </w:r>
      <w:r>
        <w:rPr>
          <w:rFonts w:ascii="仿宋" w:hAnsi="仿宋" w:eastAsia="仿宋" w:cs="仿宋_GB2312"/>
          <w:sz w:val="32"/>
          <w:szCs w:val="32"/>
        </w:rPr>
        <w:t>(9)</w:t>
      </w:r>
      <w:r>
        <w:rPr>
          <w:rFonts w:hint="eastAsia" w:ascii="仿宋" w:hAnsi="仿宋" w:eastAsia="仿宋" w:cs="仿宋_GB2312"/>
          <w:sz w:val="32"/>
          <w:szCs w:val="32"/>
        </w:rPr>
        <w:t>对法律、法规、规定等草案提出意见；针对案件审理中发现的问题提出司法建议。</w:t>
      </w:r>
      <w:r>
        <w:rPr>
          <w:rFonts w:ascii="仿宋" w:hAnsi="仿宋" w:eastAsia="仿宋" w:cs="仿宋_GB2312"/>
          <w:sz w:val="32"/>
          <w:szCs w:val="32"/>
        </w:rPr>
        <w:t>(10)</w:t>
      </w:r>
      <w:r>
        <w:rPr>
          <w:rFonts w:hint="eastAsia" w:ascii="仿宋" w:hAnsi="仿宋" w:eastAsia="仿宋" w:cs="仿宋_GB2312"/>
          <w:sz w:val="32"/>
          <w:szCs w:val="32"/>
        </w:rPr>
        <w:t>对焦作市中级人民法院的法官和其他工作人员进行思想政治教育、组织专业培训；指导基层人民法院的思想政治工作和教育培训工作；按照权限管理法官和其他工作人员；协助主管部门管理基层人民法院机构编制工作；领导焦作市中级人民法院直属事业单位的工作。</w:t>
      </w:r>
      <w:r>
        <w:rPr>
          <w:rFonts w:ascii="仿宋" w:hAnsi="仿宋" w:eastAsia="仿宋" w:cs="仿宋_GB2312"/>
          <w:sz w:val="32"/>
          <w:szCs w:val="32"/>
        </w:rPr>
        <w:t>(11)</w:t>
      </w:r>
      <w:r>
        <w:rPr>
          <w:rFonts w:hint="eastAsia" w:ascii="仿宋" w:hAnsi="仿宋" w:eastAsia="仿宋" w:cs="仿宋_GB2312"/>
          <w:sz w:val="32"/>
          <w:szCs w:val="32"/>
        </w:rPr>
        <w:t>领导全市法院的监察工作。</w:t>
      </w:r>
      <w:r>
        <w:rPr>
          <w:rFonts w:ascii="仿宋" w:hAnsi="仿宋" w:eastAsia="仿宋" w:cs="仿宋_GB2312"/>
          <w:sz w:val="32"/>
          <w:szCs w:val="32"/>
        </w:rPr>
        <w:t>(12)</w:t>
      </w:r>
      <w:r>
        <w:rPr>
          <w:rFonts w:hint="eastAsia" w:ascii="仿宋" w:hAnsi="仿宋" w:eastAsia="仿宋" w:cs="仿宋_GB2312"/>
          <w:sz w:val="32"/>
          <w:szCs w:val="32"/>
        </w:rPr>
        <w:t>在审判工作中宣传法制，教育公民自觉遵守宪法和法律。</w:t>
      </w:r>
      <w:r>
        <w:rPr>
          <w:rFonts w:ascii="仿宋" w:hAnsi="仿宋" w:eastAsia="仿宋" w:cs="仿宋_GB2312"/>
          <w:sz w:val="32"/>
          <w:szCs w:val="32"/>
        </w:rPr>
        <w:t>(13)</w:t>
      </w:r>
      <w:r>
        <w:rPr>
          <w:rFonts w:hint="eastAsia" w:ascii="仿宋" w:hAnsi="仿宋" w:eastAsia="仿宋" w:cs="仿宋_GB2312"/>
          <w:sz w:val="32"/>
          <w:szCs w:val="32"/>
        </w:rPr>
        <w:t>管理全市法院系统的有关经费和物资装备；指导基层人民法庭建设。</w:t>
      </w:r>
      <w:r>
        <w:rPr>
          <w:rFonts w:ascii="仿宋" w:hAnsi="仿宋" w:eastAsia="仿宋" w:cs="仿宋_GB2312"/>
          <w:sz w:val="32"/>
          <w:szCs w:val="32"/>
        </w:rPr>
        <w:t>(14)</w:t>
      </w:r>
      <w:r>
        <w:rPr>
          <w:rFonts w:hint="eastAsia" w:ascii="仿宋" w:hAnsi="仿宋" w:eastAsia="仿宋" w:cs="仿宋_GB2312"/>
          <w:sz w:val="32"/>
          <w:szCs w:val="32"/>
        </w:rPr>
        <w:t>承办其他应由焦作市中级人民法院负责的工作。</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left"/>
        <w:rPr>
          <w:rFonts w:hint="default" w:ascii="仿宋" w:hAnsi="仿宋" w:eastAsia="仿宋" w:cs="仿宋_GB2312"/>
          <w:sz w:val="32"/>
          <w:szCs w:val="32"/>
        </w:rPr>
      </w:pPr>
      <w:r>
        <w:rPr>
          <w:rFonts w:hint="default" w:ascii="仿宋" w:hAnsi="仿宋" w:eastAsia="仿宋" w:cs="仿宋_GB2312"/>
          <w:sz w:val="32"/>
          <w:szCs w:val="32"/>
        </w:rPr>
        <w:t>焦作市中级人民法院机关后勤服务中心主要职责是为法院机关提供后勤服务保障。</w:t>
      </w:r>
    </w:p>
    <w:p>
      <w:pPr>
        <w:keepNext w:val="0"/>
        <w:keepLines w:val="0"/>
        <w:pageBreakBefore w:val="0"/>
        <w:kinsoku/>
        <w:wordWrap/>
        <w:overflowPunct/>
        <w:topLinePunct w:val="0"/>
        <w:autoSpaceDE/>
        <w:autoSpaceDN/>
        <w:bidi w:val="0"/>
        <w:adjustRightInd w:val="0"/>
        <w:snapToGrid w:val="0"/>
        <w:spacing w:line="360" w:lineRule="auto"/>
        <w:ind w:firstLine="624"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_GB2312"/>
          <w:sz w:val="32"/>
          <w:szCs w:val="32"/>
        </w:rPr>
        <w:t>焦作市中级人民法院诉讼服务中心主要职责是为司法便民提供诉讼服务</w:t>
      </w:r>
      <w:r>
        <w:rPr>
          <w:rFonts w:hint="eastAsia" w:ascii="新宋体" w:hAnsi="新宋体" w:eastAsia="新宋体" w:cs="新宋体"/>
          <w:color w:val="444444"/>
          <w:sz w:val="32"/>
          <w:szCs w:val="32"/>
          <w:shd w:val="clear" w:color="auto" w:fill="FFFFFF"/>
        </w:rPr>
        <w:t>。</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3569" w:firstLine="624" w:firstLineChars="200"/>
        <w:jc w:val="lef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部门预算单位构成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24" w:firstLineChars="200"/>
        <w:jc w:val="left"/>
        <w:textAlignment w:val="auto"/>
        <w:outlineLvl w:val="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焦作市中级人民法院</w:t>
      </w:r>
      <w:r>
        <w:rPr>
          <w:rFonts w:hint="eastAsia" w:ascii="仿宋_GB2312" w:hAnsi="仿宋_GB2312" w:eastAsia="仿宋_GB2312" w:cs="仿宋_GB2312"/>
          <w:b w:val="0"/>
          <w:bCs w:val="0"/>
          <w:sz w:val="32"/>
          <w:szCs w:val="32"/>
        </w:rPr>
        <w:t>由本级预算单位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焦作市中级人民法院机关后勤服务中心和焦作市中级人民法院诉讼服务中心构成。</w:t>
      </w:r>
      <w:r>
        <w:rPr>
          <w:rFonts w:hint="eastAsia" w:ascii="仿宋_GB2312" w:hAnsi="仿宋_GB2312" w:eastAsia="仿宋_GB2312" w:cs="仿宋_GB2312"/>
          <w:b w:val="0"/>
          <w:bCs w:val="0"/>
          <w:sz w:val="32"/>
          <w:szCs w:val="32"/>
          <w:lang w:eastAsia="zh-CN"/>
        </w:rPr>
        <w:t>本预算为汇总预算。</w:t>
      </w:r>
    </w:p>
    <w:p>
      <w:pPr>
        <w:keepNext w:val="0"/>
        <w:keepLines w:val="0"/>
        <w:pageBreakBefore w:val="0"/>
        <w:widowControl/>
        <w:shd w:val="clear" w:color="auto" w:fill="FFFFFF"/>
        <w:kinsoku/>
        <w:wordWrap/>
        <w:overflowPunct/>
        <w:topLinePunct w:val="0"/>
        <w:autoSpaceDE/>
        <w:autoSpaceDN/>
        <w:bidi w:val="0"/>
        <w:spacing w:line="450" w:lineRule="atLeast"/>
        <w:ind w:firstLine="3438" w:firstLineChars="1102"/>
        <w:jc w:val="left"/>
        <w:rPr>
          <w:rFonts w:hint="eastAsia" w:ascii="仿宋_GB2312" w:hAnsi="仿宋_GB2312" w:eastAsia="仿宋_GB2312" w:cs="仿宋_GB2312"/>
          <w:sz w:val="32"/>
          <w:szCs w:val="32"/>
        </w:rPr>
      </w:pPr>
    </w:p>
    <w:p>
      <w:pPr>
        <w:keepNext w:val="0"/>
        <w:keepLines w:val="0"/>
        <w:pageBreakBefore w:val="0"/>
        <w:widowControl/>
        <w:shd w:val="clear" w:color="auto" w:fill="FFFFFF"/>
        <w:kinsoku/>
        <w:wordWrap/>
        <w:overflowPunct/>
        <w:topLinePunct w:val="0"/>
        <w:autoSpaceDE/>
        <w:autoSpaceDN/>
        <w:bidi w:val="0"/>
        <w:spacing w:line="450" w:lineRule="atLeas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第二部分</w:t>
      </w:r>
    </w:p>
    <w:p>
      <w:pPr>
        <w:keepNext w:val="0"/>
        <w:keepLines w:val="0"/>
        <w:pageBreakBefore w:val="0"/>
        <w:widowControl/>
        <w:shd w:val="clear" w:color="auto" w:fill="FFFFFF"/>
        <w:kinsoku/>
        <w:wordWrap/>
        <w:overflowPunct/>
        <w:topLinePunct w:val="0"/>
        <w:autoSpaceDE/>
        <w:autoSpaceDN/>
        <w:bidi w:val="0"/>
        <w:spacing w:line="45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部门2019</w:t>
      </w:r>
      <w:r>
        <w:rPr>
          <w:rFonts w:hint="eastAsia" w:ascii="仿宋_GB2312" w:hAnsi="仿宋_GB2312" w:eastAsia="仿宋_GB2312" w:cs="仿宋_GB2312"/>
          <w:b/>
          <w:bCs/>
          <w:sz w:val="32"/>
          <w:szCs w:val="32"/>
        </w:rPr>
        <w:t>年度部门预算情况说明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收入支出预算总体情况说明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焦作市中级人民法院201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w:t>
      </w:r>
      <w:r>
        <w:rPr>
          <w:rFonts w:hint="eastAsia" w:ascii="仿宋_GB2312" w:hAnsi="仿宋_GB2312" w:eastAsia="仿宋_GB2312" w:cs="仿宋_GB2312"/>
          <w:sz w:val="32"/>
          <w:szCs w:val="32"/>
          <w:lang w:val="en-US" w:eastAsia="zh-CN"/>
        </w:rPr>
        <w:t>8829.19</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8829.19</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sz w:val="32"/>
          <w:szCs w:val="32"/>
          <w:lang w:val="en-US" w:eastAsia="zh-CN"/>
        </w:rPr>
        <w:t>625.2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7.62%</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员额制改革，人员经费增加；受理案件量增长，业务办案费以及上级转移支付办案费增加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人员经费增加，各项社保基数增加。</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rPr>
        <w:t>收入预算总体情况说明</w:t>
      </w:r>
    </w:p>
    <w:p>
      <w:pPr>
        <w:keepNext w:val="0"/>
        <w:keepLines w:val="0"/>
        <w:pageBreakBefore w:val="0"/>
        <w:widowControl/>
        <w:shd w:val="clear" w:color="auto" w:fill="FFFFFF"/>
        <w:kinsoku/>
        <w:wordWrap/>
        <w:overflowPunct/>
        <w:topLinePunct w:val="0"/>
        <w:autoSpaceDE/>
        <w:autoSpaceDN/>
        <w:bidi w:val="0"/>
        <w:spacing w:line="560" w:lineRule="atLeast"/>
        <w:ind w:firstLine="640"/>
        <w:jc w:val="lef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焦作市中级人民法院201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年收入合计</w:t>
      </w:r>
      <w:r>
        <w:rPr>
          <w:rFonts w:hint="eastAsia" w:ascii="仿宋_GB2312" w:hAnsi="仿宋_GB2312" w:eastAsia="仿宋_GB2312" w:cs="仿宋_GB2312"/>
          <w:sz w:val="32"/>
          <w:szCs w:val="32"/>
          <w:lang w:val="en-US" w:eastAsia="zh-CN"/>
        </w:rPr>
        <w:t>8829.19</w:t>
      </w:r>
      <w:r>
        <w:rPr>
          <w:rFonts w:hint="eastAsia" w:ascii="仿宋_GB2312" w:hAnsi="仿宋_GB2312" w:eastAsia="仿宋_GB2312" w:cs="仿宋_GB2312"/>
          <w:sz w:val="32"/>
          <w:szCs w:val="32"/>
        </w:rPr>
        <w:t>万元，其中：财政拨款</w:t>
      </w:r>
      <w:r>
        <w:rPr>
          <w:rFonts w:hint="eastAsia" w:ascii="仿宋_GB2312" w:hAnsi="仿宋_GB2312" w:eastAsia="仿宋_GB2312" w:cs="仿宋_GB2312"/>
          <w:sz w:val="32"/>
          <w:szCs w:val="32"/>
          <w:lang w:val="en-US" w:eastAsia="zh-CN"/>
        </w:rPr>
        <w:t>5627.19</w:t>
      </w:r>
      <w:r>
        <w:rPr>
          <w:rFonts w:hint="eastAsia" w:ascii="仿宋_GB2312" w:hAnsi="仿宋_GB2312" w:eastAsia="仿宋_GB2312" w:cs="仿宋_GB2312"/>
          <w:sz w:val="32"/>
          <w:szCs w:val="32"/>
        </w:rPr>
        <w:t>万元，非税收入</w:t>
      </w:r>
      <w:r>
        <w:rPr>
          <w:rFonts w:hint="eastAsia" w:ascii="仿宋_GB2312" w:hAnsi="仿宋_GB2312" w:eastAsia="仿宋_GB2312" w:cs="仿宋_GB2312"/>
          <w:sz w:val="32"/>
          <w:szCs w:val="32"/>
          <w:lang w:val="en-US" w:eastAsia="zh-CN"/>
        </w:rPr>
        <w:t>3202.00</w:t>
      </w:r>
      <w:r>
        <w:rPr>
          <w:rFonts w:hint="eastAsia" w:ascii="仿宋_GB2312" w:hAnsi="仿宋_GB2312" w:eastAsia="仿宋_GB2312" w:cs="仿宋_GB2312"/>
          <w:sz w:val="32"/>
          <w:szCs w:val="32"/>
        </w:rPr>
        <w:t>万元</w:t>
      </w:r>
      <w:r>
        <w:rPr>
          <w:rFonts w:hint="eastAsia" w:ascii="Arial" w:hAnsi="Arial" w:eastAsia="仿宋_GB2312" w:cs="Arial"/>
          <w:sz w:val="32"/>
          <w:szCs w:val="32"/>
          <w:lang w:eastAsia="zh-CN"/>
        </w:rPr>
        <w:t>。</w:t>
      </w:r>
      <w:r>
        <w:rPr>
          <w:rFonts w:hint="eastAsia" w:ascii="仿宋_GB2312" w:hAnsi="仿宋_GB2312" w:eastAsia="仿宋_GB2312" w:cs="仿宋_GB2312"/>
          <w:color w:val="FF0000"/>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firstLine="624"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
          <w:bCs/>
          <w:sz w:val="32"/>
          <w:szCs w:val="32"/>
        </w:rPr>
        <w:t>支出预算总体情况说明</w:t>
      </w:r>
    </w:p>
    <w:p>
      <w:pPr>
        <w:keepNext w:val="0"/>
        <w:keepLines w:val="0"/>
        <w:pageBreakBefore w:val="0"/>
        <w:kinsoku/>
        <w:wordWrap/>
        <w:overflowPunct/>
        <w:topLinePunct w:val="0"/>
        <w:autoSpaceDE/>
        <w:autoSpaceDN/>
        <w:bidi w:val="0"/>
        <w:spacing w:line="560" w:lineRule="exact"/>
        <w:ind w:firstLine="624"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焦作市中级人民法院201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年支出合计</w:t>
      </w:r>
      <w:r>
        <w:rPr>
          <w:rFonts w:hint="eastAsia" w:ascii="仿宋_GB2312" w:hAnsi="仿宋_GB2312" w:eastAsia="仿宋_GB2312" w:cs="仿宋_GB2312"/>
          <w:sz w:val="32"/>
          <w:szCs w:val="32"/>
          <w:lang w:val="en-US" w:eastAsia="zh-CN"/>
        </w:rPr>
        <w:t>8829.19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5860.26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66.37</w:t>
      </w:r>
      <w:r>
        <w:rPr>
          <w:rFonts w:hint="eastAsia" w:ascii="仿宋_GB2312" w:hAnsi="仿宋_GB2312" w:eastAsia="仿宋_GB2312" w:cs="仿宋_GB2312"/>
          <w:sz w:val="32"/>
          <w:szCs w:val="32"/>
        </w:rPr>
        <w:t>%，含人员支出</w:t>
      </w:r>
      <w:r>
        <w:rPr>
          <w:rFonts w:hint="eastAsia" w:ascii="仿宋_GB2312" w:hAnsi="仿宋_GB2312" w:eastAsia="仿宋_GB2312" w:cs="仿宋_GB2312"/>
          <w:sz w:val="32"/>
          <w:szCs w:val="32"/>
          <w:lang w:val="en-US" w:eastAsia="zh-CN"/>
        </w:rPr>
        <w:t>5047.92</w:t>
      </w:r>
      <w:r>
        <w:rPr>
          <w:rFonts w:hint="eastAsia" w:ascii="仿宋_GB2312" w:hAnsi="仿宋_GB2312" w:eastAsia="仿宋_GB2312" w:cs="仿宋_GB2312"/>
          <w:sz w:val="32"/>
          <w:szCs w:val="32"/>
        </w:rPr>
        <w:t>万元，公用支出812.34万元；项目支出</w:t>
      </w:r>
      <w:r>
        <w:rPr>
          <w:rFonts w:hint="eastAsia" w:ascii="仿宋_GB2312" w:hAnsi="仿宋_GB2312" w:eastAsia="仿宋_GB2312" w:cs="仿宋_GB2312"/>
          <w:sz w:val="32"/>
          <w:szCs w:val="32"/>
          <w:lang w:val="en-US" w:eastAsia="zh-CN"/>
        </w:rPr>
        <w:t>2968.93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33.63</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firstLine="624"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
          <w:bCs/>
          <w:sz w:val="32"/>
          <w:szCs w:val="32"/>
        </w:rPr>
        <w:t>财政拨款收入支出预算总体情况说明</w:t>
      </w:r>
    </w:p>
    <w:p>
      <w:pPr>
        <w:keepNext w:val="0"/>
        <w:keepLines w:val="0"/>
        <w:pageBreakBefore w:val="0"/>
        <w:kinsoku/>
        <w:wordWrap/>
        <w:overflowPunct/>
        <w:topLinePunct w:val="0"/>
        <w:autoSpaceDE/>
        <w:autoSpaceDN/>
        <w:bidi w:val="0"/>
        <w:spacing w:line="560" w:lineRule="exact"/>
        <w:ind w:firstLine="62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焦作市中级人民法院201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年一般公共预算收支预算</w:t>
      </w:r>
      <w:r>
        <w:rPr>
          <w:rFonts w:hint="eastAsia" w:ascii="仿宋_GB2312" w:hAnsi="仿宋_GB2312" w:eastAsia="仿宋_GB2312" w:cs="仿宋_GB2312"/>
          <w:sz w:val="32"/>
          <w:szCs w:val="32"/>
          <w:lang w:val="en-US" w:eastAsia="zh-CN"/>
        </w:rPr>
        <w:t>8829.19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政府性基金收支预算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与 </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年相比，一般公共预算收支预算增加</w:t>
      </w:r>
      <w:r>
        <w:rPr>
          <w:rFonts w:hint="eastAsia" w:ascii="仿宋_GB2312" w:hAnsi="仿宋_GB2312" w:eastAsia="仿宋_GB2312" w:cs="仿宋_GB2312"/>
          <w:sz w:val="32"/>
          <w:szCs w:val="32"/>
          <w:lang w:val="en-US" w:eastAsia="zh-CN"/>
        </w:rPr>
        <w:t>625.2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7.62%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主要原因：人员经费增加，各项社保基数增加；政府性基金收支增加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，增长0%，主要原因：无政府性基金收支。</w:t>
      </w:r>
    </w:p>
    <w:p>
      <w:pPr>
        <w:keepNext w:val="0"/>
        <w:keepLines w:val="0"/>
        <w:pageBreakBefore w:val="0"/>
        <w:kinsoku/>
        <w:wordWrap/>
        <w:overflowPunct/>
        <w:topLinePunct w:val="0"/>
        <w:autoSpaceDE/>
        <w:autoSpaceDN/>
        <w:bidi w:val="0"/>
        <w:spacing w:line="560" w:lineRule="exact"/>
        <w:ind w:firstLine="624"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五、一般公共预算支出预算情况说明</w:t>
      </w:r>
    </w:p>
    <w:p>
      <w:pPr>
        <w:keepNext w:val="0"/>
        <w:keepLines w:val="0"/>
        <w:pageBreakBefore w:val="0"/>
        <w:widowControl/>
        <w:kinsoku/>
        <w:wordWrap/>
        <w:overflowPunct/>
        <w:topLinePunct w:val="0"/>
        <w:autoSpaceDE/>
        <w:autoSpaceDN/>
        <w:bidi w:val="0"/>
        <w:ind w:firstLine="62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年一般公共预算支出年初预算为</w:t>
      </w:r>
      <w:r>
        <w:rPr>
          <w:rFonts w:hint="eastAsia" w:ascii="仿宋_GB2312" w:hAnsi="仿宋_GB2312" w:eastAsia="仿宋_GB2312" w:cs="仿宋_GB2312"/>
          <w:sz w:val="32"/>
          <w:szCs w:val="32"/>
          <w:lang w:val="en-US" w:eastAsia="zh-CN"/>
        </w:rPr>
        <w:t>8829.19</w:t>
      </w:r>
      <w:r>
        <w:rPr>
          <w:rFonts w:hint="eastAsia" w:ascii="仿宋_GB2312" w:hAnsi="仿宋_GB2312" w:eastAsia="仿宋_GB2312" w:cs="仿宋_GB2312"/>
          <w:sz w:val="32"/>
          <w:szCs w:val="32"/>
        </w:rPr>
        <w:t>万元。主要用于以下方面：公共安全支出</w:t>
      </w:r>
      <w:r>
        <w:rPr>
          <w:rFonts w:hint="eastAsia" w:ascii="仿宋_GB2312" w:hAnsi="仿宋_GB2312" w:eastAsia="仿宋_GB2312" w:cs="仿宋_GB2312"/>
          <w:sz w:val="32"/>
          <w:szCs w:val="32"/>
          <w:lang w:val="en-US" w:eastAsia="zh-CN"/>
        </w:rPr>
        <w:t>7745.67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87.73</w:t>
      </w:r>
      <w:r>
        <w:rPr>
          <w:rFonts w:hint="eastAsia" w:ascii="仿宋_GB2312" w:hAnsi="仿宋_GB2312" w:eastAsia="仿宋_GB2312" w:cs="仿宋_GB2312"/>
          <w:sz w:val="32"/>
          <w:szCs w:val="32"/>
        </w:rPr>
        <w:t>%；教育支出</w:t>
      </w:r>
      <w:r>
        <w:rPr>
          <w:rFonts w:hint="eastAsia" w:ascii="仿宋_GB2312" w:hAnsi="仿宋_GB2312" w:eastAsia="仿宋_GB2312" w:cs="仿宋_GB2312"/>
          <w:sz w:val="32"/>
          <w:szCs w:val="32"/>
          <w:lang w:val="en-US" w:eastAsia="zh-CN"/>
        </w:rPr>
        <w:t>13.92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0.16</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611.78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6.92</w:t>
      </w:r>
      <w:r>
        <w:rPr>
          <w:rFonts w:hint="eastAsia" w:ascii="仿宋_GB2312" w:hAnsi="仿宋_GB2312" w:eastAsia="仿宋_GB2312" w:cs="仿宋_GB2312"/>
          <w:sz w:val="32"/>
          <w:szCs w:val="32"/>
        </w:rPr>
        <w:t>%；医疗卫生支出</w:t>
      </w:r>
      <w:r>
        <w:rPr>
          <w:rFonts w:hint="eastAsia" w:ascii="仿宋_GB2312" w:hAnsi="仿宋_GB2312" w:eastAsia="仿宋_GB2312" w:cs="仿宋_GB2312"/>
          <w:sz w:val="32"/>
          <w:szCs w:val="32"/>
          <w:lang w:val="en-US" w:eastAsia="zh-CN"/>
        </w:rPr>
        <w:t>238.06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219.76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24"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六、一般公共预算基本支出预算情况说明</w:t>
      </w:r>
    </w:p>
    <w:p>
      <w:pPr>
        <w:keepNext w:val="0"/>
        <w:keepLines w:val="0"/>
        <w:pageBreakBefore w:val="0"/>
        <w:widowControl/>
        <w:kinsoku/>
        <w:wordWrap/>
        <w:overflowPunct/>
        <w:topLinePunct w:val="0"/>
        <w:autoSpaceDE/>
        <w:autoSpaceDN/>
        <w:bidi w:val="0"/>
        <w:ind w:firstLine="622"/>
        <w:jc w:val="left"/>
        <w:rPr>
          <w:rFonts w:hint="eastAsia" w:ascii="仿宋_GB2312" w:hAnsi="仿宋_GB2312" w:eastAsia="仿宋_GB2312" w:cs="仿宋_GB2312"/>
          <w:color w:val="FF0000"/>
          <w:kern w:val="0"/>
          <w:sz w:val="32"/>
          <w:szCs w:val="32"/>
          <w:u w:val="none"/>
        </w:rPr>
      </w:pPr>
      <w:r>
        <w:rPr>
          <w:rFonts w:hint="eastAsia" w:ascii="仿宋_GB2312" w:hAnsi="仿宋_GB2312" w:eastAsia="仿宋_GB2312" w:cs="仿宋_GB2312"/>
          <w:sz w:val="32"/>
          <w:szCs w:val="32"/>
        </w:rPr>
        <w:t>焦作市中级人民法院201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5860.26</w:t>
      </w:r>
      <w:r>
        <w:rPr>
          <w:rFonts w:hint="eastAsia" w:ascii="仿宋_GB2312" w:hAnsi="仿宋_GB2312" w:eastAsia="仿宋_GB2312" w:cs="仿宋_GB2312"/>
          <w:sz w:val="32"/>
          <w:szCs w:val="32"/>
        </w:rPr>
        <w:t>万元，其中：</w:t>
      </w:r>
      <w:r>
        <w:rPr>
          <w:rFonts w:hint="eastAsia" w:ascii="仿宋_GB2312" w:hAnsi="仿宋_GB2312" w:eastAsia="仿宋_GB2312" w:cs="仿宋_GB2312"/>
          <w:b/>
          <w:bCs w:val="0"/>
          <w:spacing w:val="-1"/>
          <w:kern w:val="0"/>
          <w:sz w:val="32"/>
          <w:szCs w:val="32"/>
        </w:rPr>
        <w:t>人员经费</w:t>
      </w:r>
      <w:r>
        <w:rPr>
          <w:rFonts w:hint="eastAsia" w:ascii="仿宋_GB2312" w:hAnsi="仿宋_GB2312" w:eastAsia="仿宋_GB2312" w:cs="仿宋_GB2312"/>
          <w:b/>
          <w:bCs w:val="0"/>
          <w:kern w:val="0"/>
          <w:sz w:val="32"/>
          <w:szCs w:val="32"/>
          <w:lang w:val="en-US" w:eastAsia="zh-CN"/>
        </w:rPr>
        <w:t>5047.92</w:t>
      </w:r>
      <w:r>
        <w:rPr>
          <w:rFonts w:hint="eastAsia" w:ascii="仿宋_GB2312" w:hAnsi="仿宋_GB2312" w:eastAsia="仿宋_GB2312" w:cs="仿宋_GB2312"/>
          <w:b/>
          <w:bCs w:val="0"/>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主要包括：</w:t>
      </w:r>
      <w:r>
        <w:rPr>
          <w:rFonts w:hint="eastAsia" w:ascii="仿宋_GB2312" w:hAnsi="仿宋_GB2312" w:eastAsia="仿宋_GB2312" w:cs="仿宋_GB2312"/>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仿宋_GB2312" w:hAnsi="仿宋_GB2312" w:eastAsia="仿宋_GB2312" w:cs="仿宋_GB2312"/>
          <w:b/>
          <w:bCs/>
          <w:kern w:val="0"/>
          <w:sz w:val="32"/>
          <w:szCs w:val="32"/>
        </w:rPr>
        <w:t>公用经费</w:t>
      </w:r>
      <w:r>
        <w:rPr>
          <w:rFonts w:hint="eastAsia" w:ascii="仿宋_GB2312" w:hAnsi="仿宋_GB2312" w:eastAsia="仿宋_GB2312" w:cs="仿宋_GB2312"/>
          <w:b/>
          <w:bCs/>
          <w:kern w:val="0"/>
          <w:sz w:val="32"/>
          <w:szCs w:val="32"/>
          <w:lang w:val="en-US" w:eastAsia="zh-CN"/>
        </w:rPr>
        <w:t>812.34</w:t>
      </w:r>
      <w:r>
        <w:rPr>
          <w:rFonts w:hint="eastAsia" w:ascii="仿宋_GB2312" w:hAnsi="仿宋_GB2312" w:eastAsia="仿宋_GB2312" w:cs="仿宋_GB2312"/>
          <w:b/>
          <w:bCs/>
          <w:kern w:val="0"/>
          <w:sz w:val="32"/>
          <w:szCs w:val="32"/>
        </w:rPr>
        <w:t>万元</w:t>
      </w:r>
      <w:r>
        <w:rPr>
          <w:rFonts w:hint="eastAsia" w:ascii="仿宋_GB2312" w:hAnsi="仿宋_GB2312" w:eastAsia="仿宋_GB2312" w:cs="仿宋_GB2312"/>
          <w:kern w:val="0"/>
          <w:sz w:val="32"/>
          <w:szCs w:val="32"/>
        </w:rPr>
        <w:t>，主要包括：办公费、印刷费、咨询费、手续费、水费、电费、邮电费、取暖费、物业管理费、差旅费、因公出国（境）费、维修（护）费、租赁费、会议费、培训费、公务接待费、专用材料费、劳务费、委托业务费、福利费、公务用车运行维护费、其他交通费用、其他商品和服务支出、办公设备购置、专用设备购置、基础设施建设、大型修缮、信息网络及软件购置更新、公务用车购置、其他资本性支出和其他支出。</w:t>
      </w:r>
    </w:p>
    <w:p>
      <w:pPr>
        <w:keepNext w:val="0"/>
        <w:keepLines w:val="0"/>
        <w:pageBreakBefore w:val="0"/>
        <w:kinsoku/>
        <w:wordWrap/>
        <w:overflowPunct/>
        <w:topLinePunct w:val="0"/>
        <w:autoSpaceDE/>
        <w:autoSpaceDN/>
        <w:bidi w:val="0"/>
        <w:spacing w:line="560" w:lineRule="exact"/>
        <w:ind w:firstLine="624"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eastAsia="zh-CN"/>
        </w:rPr>
        <w:t>七、</w:t>
      </w:r>
      <w:r>
        <w:rPr>
          <w:rFonts w:hint="eastAsia" w:ascii="仿宋_GB2312" w:hAnsi="仿宋_GB2312" w:eastAsia="仿宋_GB2312" w:cs="仿宋_GB2312"/>
          <w:b/>
          <w:bCs/>
          <w:kern w:val="0"/>
          <w:sz w:val="32"/>
          <w:szCs w:val="32"/>
        </w:rPr>
        <w:t>政府性基金预算支出</w:t>
      </w:r>
      <w:r>
        <w:rPr>
          <w:rFonts w:hint="eastAsia" w:ascii="仿宋_GB2312" w:hAnsi="仿宋_GB2312" w:eastAsia="仿宋_GB2312" w:cs="仿宋_GB2312"/>
          <w:b/>
          <w:bCs/>
          <w:kern w:val="0"/>
          <w:sz w:val="32"/>
          <w:szCs w:val="32"/>
          <w:lang w:eastAsia="zh-CN"/>
        </w:rPr>
        <w:t>预算</w:t>
      </w:r>
      <w:r>
        <w:rPr>
          <w:rFonts w:hint="eastAsia" w:ascii="仿宋_GB2312" w:hAnsi="仿宋_GB2312" w:eastAsia="仿宋_GB2312" w:cs="仿宋_GB2312"/>
          <w:b/>
          <w:bCs/>
          <w:kern w:val="0"/>
          <w:sz w:val="32"/>
          <w:szCs w:val="32"/>
        </w:rPr>
        <w:t>情况说明</w:t>
      </w:r>
    </w:p>
    <w:p>
      <w:pPr>
        <w:keepNext w:val="0"/>
        <w:keepLines w:val="0"/>
        <w:pageBreakBefore w:val="0"/>
        <w:kinsoku/>
        <w:wordWrap/>
        <w:overflowPunct/>
        <w:topLinePunct w:val="0"/>
        <w:autoSpaceDE/>
        <w:autoSpaceDN/>
        <w:bidi w:val="0"/>
        <w:spacing w:line="560" w:lineRule="exact"/>
        <w:ind w:firstLine="624"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年没有使用政府性基金预算拨款安排的支出。</w:t>
      </w:r>
    </w:p>
    <w:p>
      <w:pPr>
        <w:keepNext w:val="0"/>
        <w:keepLines w:val="0"/>
        <w:pageBreakBefore w:val="0"/>
        <w:kinsoku/>
        <w:wordWrap/>
        <w:overflowPunct/>
        <w:topLinePunct w:val="0"/>
        <w:autoSpaceDE/>
        <w:autoSpaceDN/>
        <w:bidi w:val="0"/>
        <w:spacing w:line="560" w:lineRule="exact"/>
        <w:ind w:firstLine="624"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kern w:val="0"/>
          <w:sz w:val="32"/>
          <w:szCs w:val="32"/>
          <w:lang w:eastAsia="zh-CN"/>
        </w:rPr>
        <w:t>国</w:t>
      </w:r>
      <w:r>
        <w:rPr>
          <w:rFonts w:hint="eastAsia" w:ascii="仿宋_GB2312" w:hAnsi="仿宋_GB2312" w:eastAsia="仿宋_GB2312" w:cs="仿宋_GB2312"/>
          <w:b/>
          <w:bCs/>
          <w:kern w:val="0"/>
          <w:sz w:val="32"/>
          <w:szCs w:val="32"/>
          <w:lang w:eastAsia="zh-CN"/>
        </w:rPr>
        <w:t>有资本经营</w:t>
      </w:r>
      <w:r>
        <w:rPr>
          <w:rFonts w:hint="eastAsia" w:ascii="仿宋_GB2312" w:hAnsi="仿宋_GB2312" w:eastAsia="仿宋_GB2312" w:cs="仿宋_GB2312"/>
          <w:b/>
          <w:bCs/>
          <w:kern w:val="0"/>
          <w:sz w:val="32"/>
          <w:szCs w:val="32"/>
        </w:rPr>
        <w:t>预算支出</w:t>
      </w:r>
      <w:r>
        <w:rPr>
          <w:rFonts w:hint="eastAsia" w:ascii="仿宋_GB2312" w:hAnsi="仿宋_GB2312" w:eastAsia="仿宋_GB2312" w:cs="仿宋_GB2312"/>
          <w:b/>
          <w:bCs/>
          <w:kern w:val="0"/>
          <w:sz w:val="32"/>
          <w:szCs w:val="32"/>
          <w:lang w:eastAsia="zh-CN"/>
        </w:rPr>
        <w:t>预</w:t>
      </w:r>
      <w:r>
        <w:rPr>
          <w:rFonts w:hint="eastAsia" w:ascii="仿宋_GB2312" w:hAnsi="仿宋_GB2312" w:eastAsia="仿宋_GB2312" w:cs="仿宋_GB2312"/>
          <w:b/>
          <w:bCs/>
          <w:kern w:val="0"/>
          <w:sz w:val="32"/>
          <w:szCs w:val="32"/>
        </w:rPr>
        <w:t>算情况说明</w:t>
      </w:r>
    </w:p>
    <w:p>
      <w:pPr>
        <w:keepNext w:val="0"/>
        <w:keepLines w:val="0"/>
        <w:pageBreakBefore w:val="0"/>
        <w:kinsoku/>
        <w:wordWrap/>
        <w:overflowPunct/>
        <w:topLinePunct w:val="0"/>
        <w:autoSpaceDE/>
        <w:autoSpaceDN/>
        <w:bidi w:val="0"/>
        <w:spacing w:line="560" w:lineRule="exact"/>
        <w:ind w:firstLine="624"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年没有使用政国有资本经营预算拨款安排的支出</w:t>
      </w:r>
      <w:r>
        <w:rPr>
          <w:rFonts w:hint="eastAsia" w:ascii="仿宋_GB2312" w:hAnsi="仿宋_GB2312" w:eastAsia="仿宋_GB2312" w:cs="仿宋_GB2312"/>
          <w:kern w:val="0"/>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24"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eastAsia="zh-CN"/>
        </w:rPr>
        <w:t>九</w:t>
      </w:r>
      <w:r>
        <w:rPr>
          <w:rFonts w:hint="eastAsia" w:ascii="仿宋_GB2312" w:hAnsi="仿宋_GB2312" w:eastAsia="仿宋_GB2312" w:cs="仿宋_GB2312"/>
          <w:b/>
          <w:bCs/>
          <w:kern w:val="0"/>
          <w:sz w:val="32"/>
          <w:szCs w:val="32"/>
        </w:rPr>
        <w:t>、“三公”经费支出预算情况说明</w:t>
      </w:r>
    </w:p>
    <w:p>
      <w:pPr>
        <w:keepNext w:val="0"/>
        <w:keepLines w:val="0"/>
        <w:pageBreakBefore w:val="0"/>
        <w:widowControl/>
        <w:kinsoku/>
        <w:wordWrap/>
        <w:overflowPunct/>
        <w:topLinePunct w:val="0"/>
        <w:autoSpaceDE/>
        <w:autoSpaceDN/>
        <w:bidi w:val="0"/>
        <w:ind w:firstLine="624"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年“三公”经费预算为</w:t>
      </w:r>
      <w:r>
        <w:rPr>
          <w:rFonts w:hint="eastAsia" w:ascii="仿宋_GB2312" w:hAnsi="仿宋_GB2312" w:eastAsia="仿宋_GB2312" w:cs="仿宋_GB2312"/>
          <w:kern w:val="0"/>
          <w:sz w:val="32"/>
          <w:szCs w:val="32"/>
        </w:rPr>
        <w:t>142.5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比</w:t>
      </w:r>
      <w:r>
        <w:rPr>
          <w:rFonts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年预算数减少</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27.85</w:t>
      </w:r>
      <w:r>
        <w:rPr>
          <w:rFonts w:ascii="仿宋_GB2312" w:hAnsi="仿宋_GB2312" w:eastAsia="仿宋_GB2312" w:cs="仿宋_GB2312"/>
          <w:kern w:val="0"/>
          <w:sz w:val="32"/>
          <w:szCs w:val="32"/>
        </w:rPr>
        <w:t>%</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具体支出情况如下：</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firstLine="620" w:firstLineChars="200"/>
        <w:rPr>
          <w:rFonts w:ascii="仿宋_GB2312" w:hAnsi="仿宋_GB2312" w:eastAsia="仿宋_GB2312" w:cs="仿宋_GB2312"/>
          <w:sz w:val="32"/>
          <w:szCs w:val="32"/>
        </w:rPr>
      </w:pPr>
      <w:r>
        <w:rPr>
          <w:rFonts w:hint="eastAsia" w:ascii="仿宋_GB2312" w:hAnsi="仿宋_GB2312" w:eastAsia="仿宋_GB2312" w:cs="仿宋_GB2312"/>
          <w:b/>
          <w:spacing w:val="-1"/>
          <w:kern w:val="0"/>
          <w:sz w:val="32"/>
          <w:szCs w:val="32"/>
        </w:rPr>
        <w:t>因公出国（境）费</w:t>
      </w:r>
      <w:r>
        <w:rPr>
          <w:rFonts w:ascii="仿宋_GB2312" w:hAnsi="仿宋_GB2312" w:eastAsia="仿宋_GB2312" w:cs="仿宋_GB2312"/>
          <w:kern w:val="0"/>
          <w:sz w:val="32"/>
          <w:szCs w:val="32"/>
        </w:rPr>
        <w:t>10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参加上级法院统一组织的</w:t>
      </w:r>
      <w:r>
        <w:rPr>
          <w:rFonts w:hint="eastAsia" w:ascii="仿宋_GB2312" w:hAnsi="仿宋_GB2312" w:eastAsia="仿宋_GB2312" w:cs="仿宋_GB2312"/>
          <w:sz w:val="32"/>
          <w:szCs w:val="32"/>
        </w:rPr>
        <w:t>因公出国</w:t>
      </w:r>
      <w:r>
        <w:rPr>
          <w:rFonts w:hint="eastAsia" w:ascii="仿宋_GB2312" w:hAnsi="仿宋_GB2312" w:eastAsia="仿宋_GB2312" w:cs="仿宋_GB2312"/>
          <w:sz w:val="32"/>
          <w:szCs w:val="32"/>
          <w:lang w:eastAsia="zh-CN"/>
        </w:rPr>
        <w:t>考察学习</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节约开支，从严控制出国考察学习费用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2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b/>
          <w:spacing w:val="-1"/>
          <w:kern w:val="0"/>
          <w:sz w:val="32"/>
          <w:szCs w:val="32"/>
          <w:lang w:eastAsia="zh-CN"/>
        </w:rPr>
        <w:t>（二）</w:t>
      </w:r>
      <w:r>
        <w:rPr>
          <w:rFonts w:hint="eastAsia" w:ascii="仿宋_GB2312" w:hAnsi="仿宋_GB2312" w:eastAsia="仿宋_GB2312" w:cs="仿宋_GB2312"/>
          <w:b/>
          <w:spacing w:val="-1"/>
          <w:kern w:val="0"/>
          <w:sz w:val="32"/>
          <w:szCs w:val="32"/>
        </w:rPr>
        <w:t>公务用车购置及运行费</w:t>
      </w:r>
      <w:r>
        <w:rPr>
          <w:rFonts w:hint="eastAsia" w:ascii="仿宋_GB2312" w:hAnsi="仿宋_GB2312" w:eastAsia="仿宋_GB2312" w:cs="仿宋_GB2312"/>
          <w:kern w:val="0"/>
          <w:sz w:val="32"/>
          <w:szCs w:val="32"/>
          <w:lang w:val="en-US" w:eastAsia="zh-CN"/>
        </w:rPr>
        <w:t>112.5</w:t>
      </w:r>
      <w:r>
        <w:rPr>
          <w:rFonts w:hint="eastAsia" w:ascii="仿宋_GB2312" w:hAnsi="仿宋_GB2312" w:eastAsia="仿宋_GB2312" w:cs="仿宋_GB2312"/>
          <w:kern w:val="0"/>
          <w:sz w:val="32"/>
          <w:szCs w:val="32"/>
        </w:rPr>
        <w:t>万</w:t>
      </w:r>
      <w:r>
        <w:rPr>
          <w:rFonts w:hint="eastAsia" w:ascii="仿宋_GB2312" w:hAnsi="仿宋_GB2312" w:eastAsia="仿宋_GB2312" w:cs="仿宋_GB2312"/>
          <w:sz w:val="32"/>
          <w:szCs w:val="32"/>
        </w:rPr>
        <w:t>元。其中公务车辆购置费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购置</w:t>
      </w:r>
      <w:r>
        <w:rPr>
          <w:rFonts w:hint="eastAsia" w:ascii="仿宋_GB2312" w:hAnsi="仿宋_GB2312" w:eastAsia="仿宋_GB2312" w:cs="仿宋_GB2312"/>
          <w:sz w:val="32"/>
          <w:szCs w:val="32"/>
        </w:rPr>
        <w:t>执法办案</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年减少（增减）</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万元，较上年下降</w:t>
      </w:r>
      <w:r>
        <w:rPr>
          <w:rFonts w:hint="eastAsia" w:ascii="仿宋_GB2312" w:hAnsi="仿宋_GB2312" w:eastAsia="仿宋_GB2312" w:cs="仿宋_GB2312"/>
          <w:sz w:val="32"/>
          <w:szCs w:val="32"/>
          <w:lang w:val="en-US" w:eastAsia="zh-CN"/>
        </w:rPr>
        <w:t>68.75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降低车辆购置标准，</w:t>
      </w:r>
      <w:r>
        <w:rPr>
          <w:rFonts w:hint="eastAsia" w:ascii="仿宋_GB2312" w:hAnsi="仿宋_GB2312" w:eastAsia="仿宋_GB2312" w:cs="仿宋_GB2312"/>
          <w:sz w:val="32"/>
          <w:szCs w:val="32"/>
          <w:highlight w:val="none"/>
          <w:lang w:eastAsia="zh-CN"/>
        </w:rPr>
        <w:t>厉行节约，严格预算约束管理</w:t>
      </w:r>
      <w:r>
        <w:rPr>
          <w:rFonts w:hint="eastAsia" w:ascii="仿宋_GB2312" w:hAnsi="仿宋_GB2312" w:eastAsia="仿宋_GB2312" w:cs="仿宋_GB2312"/>
          <w:sz w:val="32"/>
          <w:szCs w:val="32"/>
          <w:highlight w:val="none"/>
        </w:rPr>
        <w:t>；公务用车运行维护费87.5万元，主</w:t>
      </w:r>
      <w:r>
        <w:rPr>
          <w:rFonts w:hint="eastAsia" w:ascii="仿宋_GB2312" w:hAnsi="仿宋_GB2312" w:eastAsia="仿宋_GB2312" w:cs="仿宋_GB2312"/>
          <w:sz w:val="32"/>
          <w:szCs w:val="32"/>
        </w:rPr>
        <w:t>要用于</w:t>
      </w:r>
      <w:r>
        <w:rPr>
          <w:rFonts w:hint="eastAsia" w:ascii="仿宋_GB2312" w:hAnsi="仿宋_GB2312" w:eastAsia="仿宋_GB2312" w:cs="仿宋_GB2312"/>
          <w:sz w:val="32"/>
          <w:szCs w:val="32"/>
          <w:lang w:eastAsia="zh-CN"/>
        </w:rPr>
        <w:t>执法办案用车的</w:t>
      </w:r>
      <w:r>
        <w:rPr>
          <w:rFonts w:hint="eastAsia" w:ascii="仿宋_GB2312" w:hAnsi="仿宋_GB2312" w:eastAsia="仿宋_GB2312" w:cs="仿宋_GB2312"/>
          <w:sz w:val="32"/>
          <w:szCs w:val="32"/>
        </w:rPr>
        <w:t>燃料费、维修费、过路过桥费、保险费等支出</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持平。</w:t>
      </w:r>
    </w:p>
    <w:p>
      <w:pPr>
        <w:keepNext w:val="0"/>
        <w:keepLines w:val="0"/>
        <w:pageBreakBefore w:val="0"/>
        <w:kinsoku/>
        <w:wordWrap/>
        <w:overflowPunct/>
        <w:topLinePunct w:val="0"/>
        <w:autoSpaceDE/>
        <w:autoSpaceDN/>
        <w:bidi w:val="0"/>
        <w:spacing w:line="560" w:lineRule="exact"/>
        <w:ind w:firstLine="62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b/>
          <w:spacing w:val="-1"/>
          <w:kern w:val="0"/>
          <w:sz w:val="32"/>
          <w:szCs w:val="32"/>
        </w:rPr>
        <w:t>（三）公务接待费</w:t>
      </w:r>
      <w:r>
        <w:rPr>
          <w:rFonts w:ascii="仿宋_GB2312" w:hAnsi="仿宋_GB2312" w:eastAsia="仿宋_GB2312" w:cs="仿宋_GB2312"/>
          <w:kern w:val="0"/>
          <w:sz w:val="32"/>
          <w:szCs w:val="32"/>
        </w:rPr>
        <w:t>20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按规定开支的各类因公来访单位人员的餐费、住宿费等。与</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持平。</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b/>
          <w:bCs/>
          <w:spacing w:val="-1"/>
          <w:kern w:val="0"/>
          <w:sz w:val="32"/>
          <w:szCs w:val="32"/>
          <w:lang w:eastAsia="zh-CN"/>
        </w:rPr>
        <w:t>十</w:t>
      </w:r>
      <w:r>
        <w:rPr>
          <w:rFonts w:hint="eastAsia" w:ascii="仿宋_GB2312" w:hAnsi="仿宋_GB2312" w:eastAsia="仿宋_GB2312" w:cs="仿宋_GB2312"/>
          <w:b/>
          <w:bCs/>
          <w:spacing w:val="-1"/>
          <w:kern w:val="0"/>
          <w:sz w:val="32"/>
          <w:szCs w:val="32"/>
        </w:rPr>
        <w:t>、其他重要事项的情况说明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kern w:val="0"/>
          <w:sz w:val="32"/>
          <w:szCs w:val="32"/>
          <w:lang w:eastAsia="zh-CN"/>
        </w:rPr>
        <w:t>机关运行经费支出</w:t>
      </w:r>
      <w:r>
        <w:rPr>
          <w:rFonts w:hint="eastAsia" w:ascii="仿宋_GB2312" w:hAnsi="仿宋_GB2312" w:eastAsia="仿宋_GB2312" w:cs="仿宋_GB2312"/>
          <w:b/>
          <w:kern w:val="0"/>
          <w:sz w:val="32"/>
          <w:szCs w:val="32"/>
        </w:rPr>
        <w:t>情况</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焦作市中级人民法院201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机关运行经费</w:t>
      </w:r>
      <w:r>
        <w:rPr>
          <w:rFonts w:hint="eastAsia" w:ascii="仿宋_GB2312" w:hAnsi="仿宋_GB2312" w:eastAsia="仿宋_GB2312" w:cs="仿宋_GB2312"/>
          <w:sz w:val="32"/>
          <w:szCs w:val="32"/>
        </w:rPr>
        <w:t>支出预算</w:t>
      </w:r>
      <w:r>
        <w:rPr>
          <w:rFonts w:hint="eastAsia" w:ascii="仿宋_GB2312" w:hAnsi="仿宋_GB2312" w:eastAsia="仿宋_GB2312" w:cs="仿宋_GB2312"/>
          <w:kern w:val="0"/>
          <w:sz w:val="32"/>
          <w:szCs w:val="32"/>
          <w:lang w:val="en-US" w:eastAsia="zh-CN"/>
        </w:rPr>
        <w:t>639.06</w:t>
      </w:r>
      <w:r>
        <w:rPr>
          <w:rFonts w:hint="eastAsia" w:ascii="仿宋_GB2312" w:hAnsi="仿宋_GB2312" w:eastAsia="仿宋_GB2312" w:cs="仿宋_GB2312"/>
          <w:sz w:val="32"/>
          <w:szCs w:val="32"/>
        </w:rPr>
        <w:t>万元，主要保障机关机构正常运转及正常履职需要的办公费、水电费、</w:t>
      </w:r>
      <w:r>
        <w:rPr>
          <w:rFonts w:hint="default" w:ascii="新宋体" w:hAnsi="新宋体" w:eastAsia="新宋体"/>
          <w:color w:val="auto"/>
          <w:position w:val="0"/>
          <w:sz w:val="32"/>
          <w:szCs w:val="32"/>
        </w:rPr>
        <w:t>邮电费、培训费、</w:t>
      </w:r>
      <w:r>
        <w:rPr>
          <w:rFonts w:hint="eastAsia" w:ascii="仿宋_GB2312" w:hAnsi="仿宋_GB2312" w:eastAsia="仿宋_GB2312" w:cs="仿宋_GB2312"/>
          <w:sz w:val="32"/>
          <w:szCs w:val="32"/>
        </w:rPr>
        <w:t>物业费、维修费、差旅费</w:t>
      </w:r>
      <w:r>
        <w:rPr>
          <w:rFonts w:hint="eastAsia" w:ascii="仿宋_GB2312" w:hAnsi="仿宋_GB2312" w:eastAsia="仿宋_GB2312" w:cs="仿宋_GB2312"/>
          <w:sz w:val="32"/>
          <w:szCs w:val="32"/>
          <w:lang w:eastAsia="zh-CN"/>
        </w:rPr>
        <w:t>、</w:t>
      </w:r>
      <w:r>
        <w:rPr>
          <w:rFonts w:hint="default" w:ascii="新宋体" w:hAnsi="新宋体" w:eastAsia="新宋体"/>
          <w:color w:val="auto"/>
          <w:position w:val="0"/>
          <w:sz w:val="32"/>
          <w:szCs w:val="32"/>
        </w:rPr>
        <w:t>劳务费</w:t>
      </w:r>
      <w:r>
        <w:rPr>
          <w:rFonts w:hint="eastAsia" w:ascii="仿宋_GB2312" w:hAnsi="仿宋_GB2312" w:eastAsia="仿宋_GB2312" w:cs="仿宋_GB2312"/>
          <w:sz w:val="32"/>
          <w:szCs w:val="32"/>
        </w:rPr>
        <w:t>等支出，比</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179.06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lang w:val="en-US" w:eastAsia="zh-CN"/>
        </w:rPr>
        <w:t>21.89</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厉行节约，压减一般性支出严格预算约束管理，减少机关运行支出；</w:t>
      </w:r>
      <w:r>
        <w:rPr>
          <w:rFonts w:ascii="仿宋_GB2312" w:hAnsi="宋体" w:eastAsia="仿宋_GB2312" w:cs="仿宋_GB2312"/>
          <w:i w:val="0"/>
          <w:caps w:val="0"/>
          <w:color w:val="auto"/>
          <w:spacing w:val="0"/>
          <w:sz w:val="32"/>
          <w:szCs w:val="32"/>
          <w:highlight w:val="none"/>
          <w:shd w:val="clear" w:fill="FFFFFF"/>
        </w:rPr>
        <w:t>2019年对机关运行费统计的经济科目进行调整，不再包含“公务交通补贴”</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eastAsia" w:ascii="仿宋_GB2312" w:hAnsi="仿宋_GB2312" w:eastAsia="仿宋_GB2312" w:cs="仿宋_GB2312"/>
          <w:b/>
          <w:kern w:val="0"/>
          <w:sz w:val="32"/>
          <w:szCs w:val="32"/>
          <w:highlight w:val="yellow"/>
        </w:rPr>
      </w:pP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highlight w:val="none"/>
        </w:rPr>
        <w:t>二）政府采购支出情况</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年政府采购预算安排</w:t>
      </w:r>
      <w:r>
        <w:rPr>
          <w:rFonts w:hint="eastAsia" w:ascii="仿宋_GB2312" w:hAnsi="仿宋_GB2312" w:eastAsia="仿宋_GB2312" w:cs="仿宋_GB2312"/>
          <w:kern w:val="0"/>
          <w:sz w:val="32"/>
          <w:szCs w:val="32"/>
          <w:highlight w:val="none"/>
          <w:lang w:val="en-US" w:eastAsia="zh-CN"/>
        </w:rPr>
        <w:t>1045</w:t>
      </w:r>
      <w:r>
        <w:rPr>
          <w:rFonts w:hint="eastAsia" w:ascii="仿宋_GB2312" w:hAnsi="仿宋_GB2312" w:eastAsia="仿宋_GB2312" w:cs="仿宋_GB2312"/>
          <w:sz w:val="32"/>
          <w:szCs w:val="32"/>
          <w:highlight w:val="none"/>
        </w:rPr>
        <w:t>万元，其中：</w:t>
      </w:r>
      <w:r>
        <w:rPr>
          <w:rFonts w:hint="eastAsia" w:ascii="仿宋_GB2312" w:hAnsi="仿宋_GB2312" w:eastAsia="仿宋_GB2312" w:cs="仿宋_GB2312"/>
          <w:kern w:val="0"/>
          <w:sz w:val="32"/>
          <w:szCs w:val="32"/>
          <w:highlight w:val="none"/>
        </w:rPr>
        <w:t>政府采购货物预算</w:t>
      </w:r>
      <w:r>
        <w:rPr>
          <w:rFonts w:hint="eastAsia" w:ascii="仿宋_GB2312" w:hAnsi="仿宋_GB2312" w:eastAsia="仿宋_GB2312" w:cs="仿宋_GB2312"/>
          <w:kern w:val="0"/>
          <w:sz w:val="32"/>
          <w:szCs w:val="32"/>
          <w:highlight w:val="none"/>
          <w:lang w:val="en-US" w:eastAsia="zh-CN"/>
        </w:rPr>
        <w:t>670</w:t>
      </w:r>
      <w:r>
        <w:rPr>
          <w:rFonts w:hint="eastAsia" w:ascii="仿宋_GB2312" w:hAnsi="仿宋_GB2312" w:eastAsia="仿宋_GB2312" w:cs="仿宋_GB2312"/>
          <w:kern w:val="0"/>
          <w:sz w:val="32"/>
          <w:szCs w:val="32"/>
          <w:highlight w:val="none"/>
        </w:rPr>
        <w:t>万元、政府采购工程预算</w:t>
      </w:r>
      <w:r>
        <w:rPr>
          <w:rFonts w:hint="eastAsia" w:ascii="仿宋_GB2312" w:hAnsi="仿宋_GB2312" w:eastAsia="仿宋_GB2312" w:cs="仿宋_GB2312"/>
          <w:kern w:val="0"/>
          <w:sz w:val="32"/>
          <w:szCs w:val="32"/>
          <w:highlight w:val="none"/>
          <w:lang w:val="en-US" w:eastAsia="zh-CN"/>
        </w:rPr>
        <w:t>215</w:t>
      </w:r>
      <w:r>
        <w:rPr>
          <w:rFonts w:hint="eastAsia" w:ascii="仿宋_GB2312" w:hAnsi="仿宋_GB2312" w:eastAsia="仿宋_GB2312" w:cs="仿宋_GB2312"/>
          <w:kern w:val="0"/>
          <w:sz w:val="32"/>
          <w:szCs w:val="32"/>
          <w:highlight w:val="none"/>
        </w:rPr>
        <w:t>万元、政府采购服务预算</w:t>
      </w:r>
      <w:r>
        <w:rPr>
          <w:rFonts w:hint="eastAsia" w:ascii="仿宋_GB2312" w:hAnsi="仿宋_GB2312" w:eastAsia="仿宋_GB2312" w:cs="仿宋_GB2312"/>
          <w:kern w:val="0"/>
          <w:sz w:val="32"/>
          <w:szCs w:val="32"/>
          <w:highlight w:val="none"/>
          <w:lang w:val="en-US" w:eastAsia="zh-CN"/>
        </w:rPr>
        <w:t>160</w:t>
      </w:r>
      <w:r>
        <w:rPr>
          <w:rFonts w:hint="eastAsia" w:ascii="仿宋_GB2312" w:hAnsi="仿宋_GB2312" w:eastAsia="仿宋_GB2312" w:cs="仿宋_GB2312"/>
          <w:kern w:val="0"/>
          <w:sz w:val="32"/>
          <w:szCs w:val="32"/>
          <w:highlight w:val="none"/>
        </w:rPr>
        <w:t>万元。</w:t>
      </w:r>
    </w:p>
    <w:p>
      <w:pPr>
        <w:keepNext w:val="0"/>
        <w:keepLines w:val="0"/>
        <w:pageBreakBefore w:val="0"/>
        <w:kinsoku/>
        <w:wordWrap/>
        <w:overflowPunct/>
        <w:topLinePunct w:val="0"/>
        <w:autoSpaceDE/>
        <w:autoSpaceDN/>
        <w:bidi w:val="0"/>
        <w:adjustRightInd w:val="0"/>
        <w:snapToGrid w:val="0"/>
        <w:spacing w:line="360" w:lineRule="auto"/>
        <w:ind w:firstLine="624" w:firstLineChars="200"/>
        <w:outlineLvl w:val="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（三）关于预算绩效管理工作开展情况说明</w:t>
      </w:r>
    </w:p>
    <w:p>
      <w:pPr>
        <w:keepNext w:val="0"/>
        <w:keepLines w:val="0"/>
        <w:pageBreakBefore w:val="0"/>
        <w:numPr>
          <w:ilvl w:val="0"/>
          <w:numId w:val="0"/>
        </w:numPr>
        <w:kinsoku/>
        <w:wordWrap/>
        <w:overflowPunct/>
        <w:topLinePunct w:val="0"/>
        <w:autoSpaceDE/>
        <w:autoSpaceDN/>
        <w:bidi w:val="0"/>
        <w:ind w:firstLine="624"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年,我部门对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个项目进行了预算绩效评价，涉及资金</w:t>
      </w:r>
      <w:r>
        <w:rPr>
          <w:rFonts w:hint="eastAsia" w:ascii="仿宋_GB2312" w:hAnsi="仿宋_GB2312" w:eastAsia="仿宋_GB2312" w:cs="仿宋_GB2312"/>
          <w:sz w:val="32"/>
          <w:szCs w:val="32"/>
          <w:highlight w:val="none"/>
          <w:lang w:val="en-US" w:eastAsia="zh-CN"/>
        </w:rPr>
        <w:t>968</w:t>
      </w:r>
      <w:r>
        <w:rPr>
          <w:rFonts w:hint="eastAsia" w:ascii="仿宋_GB2312" w:hAnsi="仿宋_GB2312" w:eastAsia="仿宋_GB2312" w:cs="仿宋_GB2312"/>
          <w:sz w:val="32"/>
          <w:szCs w:val="32"/>
          <w:highlight w:val="none"/>
        </w:rPr>
        <w:t>万元。 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年，我部门纳入预算绩效管理的支出总额为</w:t>
      </w:r>
      <w:r>
        <w:rPr>
          <w:rFonts w:hint="eastAsia" w:ascii="仿宋_GB2312" w:hAnsi="仿宋_GB2312" w:eastAsia="仿宋_GB2312" w:cs="仿宋_GB2312"/>
          <w:sz w:val="32"/>
          <w:szCs w:val="32"/>
          <w:highlight w:val="none"/>
          <w:lang w:val="en-US" w:eastAsia="zh-CN"/>
        </w:rPr>
        <w:t>890</w:t>
      </w:r>
      <w:r>
        <w:rPr>
          <w:rFonts w:hint="eastAsia" w:ascii="仿宋_GB2312" w:hAnsi="仿宋_GB2312" w:eastAsia="仿宋_GB2312" w:cs="仿宋_GB2312"/>
          <w:sz w:val="32"/>
          <w:szCs w:val="32"/>
          <w:highlight w:val="none"/>
        </w:rPr>
        <w:t>万元，其中人员经费支出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万元，公用经费支出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万元，支出项目共</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个，支出总额</w:t>
      </w:r>
      <w:r>
        <w:rPr>
          <w:rFonts w:hint="eastAsia" w:ascii="仿宋_GB2312" w:hAnsi="仿宋_GB2312" w:eastAsia="仿宋_GB2312" w:cs="仿宋_GB2312"/>
          <w:sz w:val="32"/>
          <w:szCs w:val="32"/>
          <w:highlight w:val="none"/>
          <w:lang w:val="en-US" w:eastAsia="zh-CN"/>
        </w:rPr>
        <w:t>890</w:t>
      </w:r>
      <w:r>
        <w:rPr>
          <w:rFonts w:hint="eastAsia" w:ascii="仿宋_GB2312" w:hAnsi="仿宋_GB2312" w:eastAsia="仿宋_GB2312" w:cs="仿宋_GB2312"/>
          <w:sz w:val="32"/>
          <w:szCs w:val="32"/>
          <w:highlight w:val="none"/>
        </w:rPr>
        <w:t>万元，其中预算支出100万元及100万元以上项目</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sz w:val="32"/>
          <w:szCs w:val="32"/>
          <w:highlight w:val="none"/>
        </w:rPr>
        <w:t>个，支出总额</w:t>
      </w:r>
      <w:r>
        <w:rPr>
          <w:rFonts w:hint="eastAsia" w:ascii="仿宋_GB2312" w:hAnsi="仿宋_GB2312" w:eastAsia="仿宋_GB2312" w:cs="仿宋_GB2312"/>
          <w:sz w:val="32"/>
          <w:szCs w:val="32"/>
          <w:highlight w:val="none"/>
          <w:lang w:val="en-US" w:eastAsia="zh-CN"/>
        </w:rPr>
        <w:t>890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ind w:left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（四）国有资产占用情况</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年期末，</w:t>
      </w:r>
      <w:r>
        <w:rPr>
          <w:rFonts w:hint="eastAsia" w:ascii="仿宋_GB2312" w:hAnsi="仿宋_GB2312" w:eastAsia="仿宋_GB2312" w:cs="仿宋_GB2312"/>
          <w:kern w:val="0"/>
          <w:sz w:val="32"/>
          <w:szCs w:val="32"/>
          <w:lang w:eastAsia="zh-CN"/>
        </w:rPr>
        <w:t>焦作市中级人民法院</w:t>
      </w:r>
      <w:r>
        <w:rPr>
          <w:rFonts w:hint="eastAsia" w:ascii="仿宋_GB2312" w:hAnsi="仿宋_GB2312" w:eastAsia="仿宋_GB2312" w:cs="仿宋_GB2312"/>
          <w:kern w:val="0"/>
          <w:sz w:val="32"/>
          <w:szCs w:val="32"/>
        </w:rPr>
        <w:t>固定资产总额</w:t>
      </w:r>
      <w:r>
        <w:rPr>
          <w:rFonts w:hint="eastAsia" w:ascii="仿宋_GB2312" w:hAnsi="仿宋_GB2312" w:eastAsia="仿宋_GB2312" w:cs="仿宋_GB2312"/>
          <w:kern w:val="0"/>
          <w:sz w:val="32"/>
          <w:szCs w:val="32"/>
          <w:lang w:val="en-US" w:eastAsia="zh-CN"/>
        </w:rPr>
        <w:t>7304.25</w:t>
      </w:r>
      <w:r>
        <w:rPr>
          <w:rFonts w:hint="eastAsia" w:ascii="仿宋_GB2312" w:hAnsi="仿宋_GB2312" w:eastAsia="仿宋_GB2312" w:cs="仿宋_GB2312"/>
          <w:kern w:val="0"/>
          <w:sz w:val="32"/>
          <w:szCs w:val="32"/>
        </w:rPr>
        <w:t>万元，其中，房屋建筑物</w:t>
      </w:r>
      <w:r>
        <w:rPr>
          <w:rFonts w:hint="eastAsia" w:ascii="仿宋_GB2312" w:hAnsi="仿宋_GB2312" w:eastAsia="仿宋_GB2312" w:cs="仿宋_GB2312"/>
          <w:kern w:val="0"/>
          <w:sz w:val="32"/>
          <w:szCs w:val="32"/>
          <w:lang w:val="en-US" w:eastAsia="zh-CN"/>
        </w:rPr>
        <w:t>2211.3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通用设备</w:t>
      </w:r>
      <w:r>
        <w:rPr>
          <w:rFonts w:hint="eastAsia" w:ascii="仿宋_GB2312" w:hAnsi="仿宋_GB2312" w:eastAsia="仿宋_GB2312" w:cs="仿宋_GB2312"/>
          <w:kern w:val="0"/>
          <w:sz w:val="32"/>
          <w:szCs w:val="32"/>
          <w:lang w:val="en-US" w:eastAsia="zh-CN"/>
        </w:rPr>
        <w:t>3839.7</w:t>
      </w:r>
      <w:r>
        <w:rPr>
          <w:rFonts w:hint="eastAsia" w:ascii="仿宋_GB2312" w:hAnsi="仿宋_GB2312" w:eastAsia="仿宋_GB2312" w:cs="仿宋_GB2312"/>
          <w:kern w:val="0"/>
          <w:sz w:val="32"/>
          <w:szCs w:val="32"/>
          <w:lang w:eastAsia="zh-CN"/>
        </w:rPr>
        <w:t>万元，专用设备</w:t>
      </w:r>
      <w:r>
        <w:rPr>
          <w:rFonts w:hint="eastAsia" w:ascii="仿宋_GB2312" w:hAnsi="仿宋_GB2312" w:eastAsia="仿宋_GB2312" w:cs="仿宋_GB2312"/>
          <w:kern w:val="0"/>
          <w:sz w:val="32"/>
          <w:szCs w:val="32"/>
          <w:lang w:val="en-US" w:eastAsia="zh-CN"/>
        </w:rPr>
        <w:t>359.92</w:t>
      </w:r>
      <w:r>
        <w:rPr>
          <w:rFonts w:hint="eastAsia" w:ascii="仿宋_GB2312" w:hAnsi="仿宋_GB2312" w:eastAsia="仿宋_GB2312" w:cs="仿宋_GB2312"/>
          <w:kern w:val="0"/>
          <w:sz w:val="32"/>
          <w:szCs w:val="32"/>
          <w:lang w:eastAsia="zh-CN"/>
        </w:rPr>
        <w:t>万元，图书、档案14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2</w:t>
      </w:r>
      <w:r>
        <w:rPr>
          <w:rFonts w:hint="eastAsia" w:ascii="仿宋_GB2312" w:hAnsi="仿宋_GB2312" w:eastAsia="仿宋_GB2312" w:cs="仿宋_GB2312"/>
          <w:kern w:val="0"/>
          <w:sz w:val="32"/>
          <w:szCs w:val="32"/>
          <w:lang w:val="en-US" w:eastAsia="zh-CN"/>
        </w:rPr>
        <w:t>8万元，家具、用具、装具及动植物879.05万元。</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共计</w:t>
      </w:r>
      <w:r>
        <w:rPr>
          <w:rFonts w:hint="eastAsia" w:ascii="仿宋_GB2312" w:hAnsi="仿宋_GB2312" w:eastAsia="仿宋_GB2312" w:cs="仿宋_GB2312"/>
          <w:kern w:val="0"/>
          <w:sz w:val="32"/>
          <w:szCs w:val="32"/>
          <w:lang w:val="en-US" w:eastAsia="zh-CN"/>
        </w:rPr>
        <w:t>575.46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其中：一般公务用车</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辆，执法执勤车</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r>
        <w:rPr>
          <w:rFonts w:hint="eastAsia" w:ascii="仿宋_GB2312" w:hAnsi="宋体" w:eastAsia="仿宋_GB2312" w:cs="仿宋_GB2312"/>
          <w:sz w:val="32"/>
          <w:szCs w:val="32"/>
        </w:rPr>
        <w:t>。</w:t>
      </w:r>
    </w:p>
    <w:p>
      <w:pPr>
        <w:keepNext w:val="0"/>
        <w:keepLines w:val="0"/>
        <w:pageBreakBefore w:val="0"/>
        <w:widowControl/>
        <w:kinsoku/>
        <w:wordWrap/>
        <w:overflowPunct/>
        <w:topLinePunct w:val="0"/>
        <w:autoSpaceDE/>
        <w:autoSpaceDN/>
        <w:bidi w:val="0"/>
        <w:ind w:firstLine="624"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eastAsia="zh-CN"/>
        </w:rPr>
        <w:t>五</w:t>
      </w:r>
      <w:r>
        <w:rPr>
          <w:rFonts w:hint="eastAsia" w:ascii="仿宋_GB2312" w:hAnsi="仿宋_GB2312" w:eastAsia="仿宋_GB2312" w:cs="仿宋_GB2312"/>
          <w:b/>
          <w:kern w:val="0"/>
          <w:sz w:val="32"/>
          <w:szCs w:val="32"/>
        </w:rPr>
        <w:t>）关于预算部门构成说明</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财政预算公开要求，将所属预算单位全部纳入预算公开范围。</w:t>
      </w:r>
    </w:p>
    <w:p>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名词解释</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一、财政拨款收入：是指市级财政当年拨付的资金。</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得的收入。</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三、其他收入：是指</w:t>
      </w:r>
      <w:r>
        <w:rPr>
          <w:rFonts w:hint="eastAsia" w:ascii="仿宋_GB2312" w:hAnsi="仿宋_GB2312" w:eastAsia="仿宋_GB2312" w:cs="仿宋_GB2312"/>
          <w:sz w:val="32"/>
          <w:szCs w:val="32"/>
          <w:lang w:eastAsia="zh-CN"/>
        </w:rPr>
        <w:t>焦作市中级人民法院</w:t>
      </w:r>
      <w:r>
        <w:rPr>
          <w:rFonts w:hint="eastAsia" w:ascii="仿宋_GB2312" w:hAnsi="仿宋_GB2312" w:eastAsia="仿宋_GB2312" w:cs="仿宋_GB2312"/>
          <w:sz w:val="32"/>
          <w:szCs w:val="32"/>
        </w:rPr>
        <w:t>取得的除“财政拨款”、“事业收入”、“事业单位经营收入”等以外的收入。</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四、基本支出：是指为保障</w:t>
      </w:r>
      <w:r>
        <w:rPr>
          <w:rFonts w:hint="eastAsia" w:ascii="仿宋_GB2312" w:hAnsi="仿宋_GB2312" w:eastAsia="仿宋_GB2312" w:cs="仿宋_GB2312"/>
          <w:sz w:val="32"/>
          <w:szCs w:val="32"/>
          <w:lang w:eastAsia="zh-CN"/>
        </w:rPr>
        <w:t>审判</w:t>
      </w:r>
      <w:r>
        <w:rPr>
          <w:rFonts w:hint="eastAsia" w:ascii="仿宋_GB2312" w:hAnsi="仿宋_GB2312" w:eastAsia="仿宋_GB2312" w:cs="仿宋_GB2312"/>
          <w:sz w:val="32"/>
          <w:szCs w:val="32"/>
        </w:rPr>
        <w:t>机构正常运转、完成日常</w:t>
      </w:r>
      <w:r>
        <w:rPr>
          <w:rFonts w:hint="eastAsia" w:ascii="仿宋_GB2312" w:hAnsi="仿宋_GB2312" w:eastAsia="仿宋_GB2312" w:cs="仿宋_GB2312"/>
          <w:sz w:val="32"/>
          <w:szCs w:val="32"/>
          <w:lang w:eastAsia="zh-CN"/>
        </w:rPr>
        <w:t>审判执行</w:t>
      </w:r>
      <w:r>
        <w:rPr>
          <w:rFonts w:hint="eastAsia" w:ascii="仿宋_GB2312" w:hAnsi="仿宋_GB2312" w:eastAsia="仿宋_GB2312" w:cs="仿宋_GB2312"/>
          <w:sz w:val="32"/>
          <w:szCs w:val="32"/>
        </w:rPr>
        <w:t>工作任务所必需的开支，其内容包括人员经费和日常公用经费两部分。</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五、项目支出：是指在基本支出之外，为完成</w:t>
      </w:r>
      <w:r>
        <w:rPr>
          <w:rFonts w:hint="eastAsia" w:ascii="仿宋_GB2312" w:hAnsi="仿宋_GB2312" w:eastAsia="仿宋_GB2312" w:cs="仿宋_GB2312"/>
          <w:sz w:val="32"/>
          <w:szCs w:val="32"/>
          <w:lang w:eastAsia="zh-CN"/>
        </w:rPr>
        <w:t>审判执行工作</w:t>
      </w:r>
      <w:r>
        <w:rPr>
          <w:rFonts w:hint="eastAsia" w:ascii="仿宋_GB2312" w:hAnsi="仿宋_GB2312" w:eastAsia="仿宋_GB2312" w:cs="仿宋_GB2312"/>
          <w:sz w:val="32"/>
          <w:szCs w:val="32"/>
        </w:rPr>
        <w:t>目标所发生的支出。</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七、机关运行经费：是指为保障</w:t>
      </w:r>
      <w:r>
        <w:rPr>
          <w:rFonts w:hint="eastAsia" w:ascii="仿宋_GB2312" w:hAnsi="仿宋_GB2312" w:eastAsia="仿宋_GB2312" w:cs="仿宋_GB2312"/>
          <w:sz w:val="32"/>
          <w:szCs w:val="32"/>
          <w:lang w:eastAsia="zh-CN"/>
        </w:rPr>
        <w:t>审判</w:t>
      </w:r>
      <w:r>
        <w:rPr>
          <w:rFonts w:hint="eastAsia" w:ascii="仿宋_GB2312" w:hAnsi="仿宋_GB2312" w:eastAsia="仿宋_GB2312" w:cs="仿宋_GB2312"/>
          <w:sz w:val="32"/>
          <w:szCs w:val="32"/>
        </w:rPr>
        <w:t>机构正常运转及正常履职需要的办公费、水电费、日常维修、物业费、维修费、</w:t>
      </w:r>
      <w:r>
        <w:rPr>
          <w:rFonts w:hint="eastAsia" w:ascii="仿宋_GB2312" w:hAnsi="仿宋_GB2312" w:eastAsia="仿宋_GB2312" w:cs="仿宋_GB2312"/>
          <w:sz w:val="32"/>
          <w:szCs w:val="32"/>
          <w:lang w:eastAsia="zh-CN"/>
        </w:rPr>
        <w:t>差旅费、</w:t>
      </w:r>
      <w:r>
        <w:rPr>
          <w:rFonts w:hint="eastAsia" w:ascii="仿宋_GB2312" w:hAnsi="仿宋_GB2312" w:eastAsia="仿宋_GB2312" w:cs="仿宋_GB2312"/>
          <w:sz w:val="32"/>
          <w:szCs w:val="32"/>
        </w:rPr>
        <w:t>公务用车运行维护费以及其他费用等支出。</w:t>
      </w:r>
    </w:p>
    <w:p>
      <w:pPr>
        <w:keepNext w:val="0"/>
        <w:keepLines w:val="0"/>
        <w:pageBreakBefore w:val="0"/>
        <w:numPr>
          <w:ilvl w:val="0"/>
          <w:numId w:val="0"/>
        </w:numPr>
        <w:kinsoku/>
        <w:wordWrap/>
        <w:overflowPunct/>
        <w:topLinePunct w:val="0"/>
        <w:autoSpaceDE/>
        <w:autoSpaceDN/>
        <w:bidi w:val="0"/>
        <w:snapToGrid w:val="0"/>
        <w:spacing w:before="0" w:after="0" w:line="360" w:lineRule="auto"/>
        <w:ind w:right="0" w:firstLine="622"/>
        <w:jc w:val="both"/>
        <w:rPr>
          <w:rFonts w:hint="default" w:ascii="仿宋_GB2312" w:hAnsi="仿宋_GB2312" w:eastAsia="仿宋_GB2312"/>
          <w:color w:val="auto"/>
          <w:position w:val="0"/>
          <w:sz w:val="32"/>
          <w:szCs w:val="32"/>
        </w:rPr>
      </w:pPr>
      <w:r>
        <w:rPr>
          <w:rFonts w:hint="default" w:ascii="仿宋_GB2312" w:hAnsi="仿宋_GB2312" w:eastAsia="仿宋_GB2312" w:cs="仿宋_GB2312"/>
          <w:sz w:val="32"/>
          <w:szCs w:val="32"/>
        </w:rPr>
        <w:t>八、其他:</w:t>
      </w:r>
      <w:r>
        <w:rPr>
          <w:rFonts w:ascii="仿宋" w:hAnsi="仿宋" w:eastAsia="仿宋" w:cs="仿宋"/>
          <w:i w:val="0"/>
          <w:caps w:val="0"/>
          <w:color w:val="000000"/>
          <w:spacing w:val="0"/>
          <w:sz w:val="32"/>
          <w:szCs w:val="32"/>
          <w:shd w:val="clear" w:fill="FFFFFF"/>
        </w:rPr>
        <w:t>公共安全支出反映法院维护社会公共安全方面的支出</w:t>
      </w:r>
      <w:r>
        <w:rPr>
          <w:rFonts w:hint="eastAsia" w:ascii="仿宋" w:hAnsi="仿宋" w:eastAsia="仿宋" w:cs="仿宋"/>
          <w:i w:val="0"/>
          <w:caps w:val="0"/>
          <w:color w:val="000000"/>
          <w:spacing w:val="0"/>
          <w:sz w:val="32"/>
          <w:szCs w:val="32"/>
          <w:shd w:val="clear" w:fill="FFFFFF"/>
          <w:lang w:eastAsia="zh-CN"/>
        </w:rPr>
        <w:t>；</w:t>
      </w:r>
      <w:r>
        <w:rPr>
          <w:rFonts w:hint="default" w:ascii="仿宋_GB2312" w:hAnsi="仿宋_GB2312" w:eastAsia="仿宋_GB2312" w:cs="仿宋_GB2312"/>
          <w:sz w:val="32"/>
          <w:szCs w:val="32"/>
        </w:rPr>
        <w:t>后勤服务保障是指为法院机关办公和职工生活提供后勤服务</w:t>
      </w:r>
      <w:r>
        <w:rPr>
          <w:rFonts w:hint="eastAsia" w:ascii="仿宋_GB2312" w:hAnsi="仿宋_GB2312" w:eastAsia="仿宋_GB2312" w:cs="仿宋_GB2312"/>
          <w:sz w:val="32"/>
          <w:szCs w:val="32"/>
          <w:lang w:eastAsia="zh-CN"/>
        </w:rPr>
        <w:t>；</w:t>
      </w:r>
      <w:r>
        <w:rPr>
          <w:rFonts w:hint="eastAsia" w:ascii="仿宋_GB2312" w:hAnsi="仿宋_GB2312" w:eastAsia="仿宋_GB2312"/>
          <w:color w:val="auto"/>
          <w:position w:val="0"/>
          <w:sz w:val="32"/>
          <w:szCs w:val="32"/>
          <w:lang w:eastAsia="zh-CN"/>
        </w:rPr>
        <w:t>诉讼</w:t>
      </w:r>
      <w:r>
        <w:rPr>
          <w:rFonts w:hint="default" w:ascii="仿宋_GB2312" w:hAnsi="仿宋_GB2312" w:eastAsia="仿宋_GB2312"/>
          <w:color w:val="auto"/>
          <w:position w:val="0"/>
          <w:sz w:val="32"/>
          <w:szCs w:val="32"/>
        </w:rPr>
        <w:t>服务是指为法院机关</w:t>
      </w:r>
      <w:r>
        <w:rPr>
          <w:rFonts w:hint="eastAsia" w:ascii="仿宋_GB2312" w:hAnsi="仿宋_GB2312" w:eastAsia="仿宋_GB2312"/>
          <w:color w:val="auto"/>
          <w:position w:val="0"/>
          <w:sz w:val="32"/>
          <w:szCs w:val="32"/>
          <w:lang w:eastAsia="zh-CN"/>
        </w:rPr>
        <w:t>诉讼工作</w:t>
      </w:r>
      <w:r>
        <w:rPr>
          <w:rFonts w:hint="default" w:ascii="仿宋_GB2312" w:hAnsi="仿宋_GB2312" w:eastAsia="仿宋_GB2312"/>
          <w:color w:val="auto"/>
          <w:position w:val="0"/>
          <w:sz w:val="32"/>
          <w:szCs w:val="32"/>
        </w:rPr>
        <w:t>提供</w:t>
      </w:r>
      <w:r>
        <w:rPr>
          <w:rFonts w:hint="eastAsia" w:ascii="仿宋_GB2312" w:hAnsi="仿宋_GB2312" w:eastAsia="仿宋_GB2312"/>
          <w:color w:val="auto"/>
          <w:position w:val="0"/>
          <w:sz w:val="32"/>
          <w:szCs w:val="32"/>
          <w:lang w:eastAsia="zh-CN"/>
        </w:rPr>
        <w:t>相应的</w:t>
      </w:r>
      <w:r>
        <w:rPr>
          <w:rFonts w:hint="default" w:ascii="仿宋_GB2312" w:hAnsi="仿宋_GB2312" w:eastAsia="仿宋_GB2312"/>
          <w:color w:val="auto"/>
          <w:position w:val="0"/>
          <w:sz w:val="32"/>
          <w:szCs w:val="32"/>
        </w:rPr>
        <w:t>服务</w:t>
      </w:r>
      <w:r>
        <w:rPr>
          <w:rFonts w:hint="default"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附件：焦作市中级人民法院</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年度部门预算表</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624"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2019年3月19日</w:t>
      </w: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360" w:lineRule="auto"/>
        <w:ind w:firstLine="624" w:firstLineChars="200"/>
        <w:rPr>
          <w:rFonts w:hint="eastAsia" w:ascii="仿宋_GB2312" w:hAnsi="仿宋_GB2312" w:eastAsia="仿宋_GB2312" w:cs="仿宋_GB2312"/>
          <w:sz w:val="32"/>
          <w:szCs w:val="32"/>
          <w:lang w:val="en-US" w:eastAsia="zh-CN"/>
        </w:rPr>
        <w:sectPr>
          <w:pgSz w:w="11906" w:h="16838"/>
          <w:pgMar w:top="2154" w:right="1474" w:bottom="1757" w:left="1587" w:header="851" w:footer="992" w:gutter="0"/>
          <w:cols w:space="0" w:num="1"/>
          <w:rtlGutter w:val="0"/>
          <w:docGrid w:type="linesAndChars" w:linePitch="312" w:charSpace="-1839"/>
        </w:sectPr>
      </w:pPr>
    </w:p>
    <w:p>
      <w:pPr>
        <w:keepNext w:val="0"/>
        <w:keepLines w:val="0"/>
        <w:pageBreakBefore w:val="0"/>
        <w:kinsoku/>
        <w:wordWrap/>
        <w:overflowPunct/>
        <w:topLinePunct w:val="0"/>
        <w:autoSpaceDE/>
        <w:autoSpaceDN/>
        <w:bidi w:val="0"/>
        <w:adjustRightInd w:val="0"/>
        <w:snapToGrid w:val="0"/>
        <w:spacing w:line="360" w:lineRule="auto"/>
      </w:pPr>
      <w:r>
        <w:drawing>
          <wp:inline distT="0" distB="0" distL="114300" distR="114300">
            <wp:extent cx="8573770" cy="523811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8573770" cy="5238115"/>
                    </a:xfrm>
                    <a:prstGeom prst="rect">
                      <a:avLst/>
                    </a:prstGeom>
                    <a:noFill/>
                    <a:ln w="9525">
                      <a:noFill/>
                    </a:ln>
                  </pic:spPr>
                </pic:pic>
              </a:graphicData>
            </a:graphic>
          </wp:inline>
        </w:drawing>
      </w:r>
    </w:p>
    <w:tbl>
      <w:tblPr>
        <w:tblStyle w:val="2"/>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7"/>
        <w:gridCol w:w="222"/>
        <w:gridCol w:w="223"/>
        <w:gridCol w:w="1256"/>
        <w:gridCol w:w="795"/>
        <w:gridCol w:w="795"/>
        <w:gridCol w:w="813"/>
        <w:gridCol w:w="795"/>
        <w:gridCol w:w="635"/>
        <w:gridCol w:w="813"/>
        <w:gridCol w:w="238"/>
        <w:gridCol w:w="825"/>
        <w:gridCol w:w="612"/>
        <w:gridCol w:w="617"/>
        <w:gridCol w:w="280"/>
        <w:gridCol w:w="304"/>
        <w:gridCol w:w="351"/>
        <w:gridCol w:w="492"/>
        <w:gridCol w:w="515"/>
        <w:gridCol w:w="444"/>
        <w:gridCol w:w="468"/>
        <w:gridCol w:w="492"/>
        <w:gridCol w:w="399"/>
        <w:gridCol w:w="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24"/>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w:t>
            </w:r>
            <w:r>
              <w:rPr>
                <w:rStyle w:val="6"/>
                <w:lang w:val="en-US" w:eastAsia="zh-CN" w:bidi="ar"/>
              </w:rPr>
              <w:t>9年部门收入总体情况表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421" w:type="dxa"/>
            <w:gridSpan w:val="7"/>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单位名称：河南省焦作市中级人民法院（汇总）</w:t>
            </w:r>
          </w:p>
        </w:tc>
        <w:tc>
          <w:tcPr>
            <w:tcW w:w="79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63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813"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238"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82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612"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617"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28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304"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351"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92"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51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44"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615"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科目代码</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707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一般公共预算支出</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w:t>
            </w: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政府性基金支出</w:t>
            </w:r>
          </w:p>
        </w:tc>
        <w:tc>
          <w:tcPr>
            <w:tcW w:w="3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纳入财政专户管理的行政事业性收费</w:t>
            </w:r>
          </w:p>
        </w:tc>
        <w:tc>
          <w:tcPr>
            <w:tcW w:w="2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w:t>
            </w:r>
          </w:p>
        </w:tc>
        <w:tc>
          <w:tcPr>
            <w:tcW w:w="338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非税收入</w:t>
            </w:r>
          </w:p>
        </w:tc>
        <w:tc>
          <w:tcPr>
            <w:tcW w:w="3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上级专项转移支付</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上年一般公共预算结余结转</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当年收入（国有资金经营）</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上年结余结转（国有资本经营）</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当年收入（基金）</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上年结余结转（基金）</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上级专项转移支付（基金）</w:t>
            </w: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2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财拨（小计）</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本级财力</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一般转移支付</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非税（小计）</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专项收入</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行政事业性收费</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罚没收入</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国有资源资产有偿使用收入</w:t>
            </w:r>
          </w:p>
        </w:tc>
        <w:tc>
          <w:tcPr>
            <w:tcW w:w="2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其他非税收入</w:t>
            </w:r>
          </w:p>
        </w:tc>
        <w:tc>
          <w:tcPr>
            <w:tcW w:w="3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2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3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3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c>
          <w:tcPr>
            <w:tcW w:w="2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1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1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2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61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8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0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5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9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1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4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6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9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9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5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8,829.19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8,829.19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5,627.19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4,887.19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3,202.00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 </w:t>
            </w: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7,745.67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7,745.67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4,543.67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3,803.67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3,202.00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 </w:t>
            </w: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法院</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7,745.67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7,745.67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4,543.67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3,803.67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3,202.00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 </w:t>
            </w: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3,414.64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3,414.64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行政人员及机关技术工人年工资总额</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年终一次性奖金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其他人员支出（绩效考核奖、聘用书记员经费）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在职人员公务通讯补贴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147.14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在职人员公用经费(公务交通补贴)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审判、办公、执行区域运行维护费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法庭改造</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司法公开与法治宣传</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司法体制改革保障经费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党建、文化建设、文明创建、文体活动经费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后勤服务保障和机关餐厅伙食补</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案件审判</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退诉讼费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办案业务费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培训训练经费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诉调对接中心专项经费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案件执行</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设备装备购置</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公告布告专款</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“两庭”建设</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信访接待场所</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342.10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342.10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事业人员及事业技术工人年基本工资</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95.67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95.67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95.67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国家保留津贴(事业)</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70%基础性绩效工资</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47.22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47.22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30%奖励性绩效工资</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23.35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23.35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23.35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53.76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其他法院支出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办案费—关于提前下达2019年政法转移支付资金的通知（豫财政法[2018]90号）</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车辆购置费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不可预见费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装备费—关于提前下达2019年政法转移支付资金的通知（豫财政法[2018]90号）</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司法救助金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进修及培训</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行政事业单位离退休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未归口管理的行政单位离退休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退休人员文明奖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退休人员采暖补贴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退休人员年健康休养费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退休干部活动费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离休人员文明奖</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离休人员采暖补贴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离休人员年健康休养费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退休人员物业服务补贴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离休人员物业服务补贴</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退休人员平时健康休养费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离休人员平时健康休养费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离退休人员公用经费</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25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2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7"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80"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0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5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15"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4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p>
      <w:pPr>
        <w:keepNext w:val="0"/>
        <w:keepLines w:val="0"/>
        <w:pageBreakBefore w:val="0"/>
        <w:kinsoku/>
        <w:wordWrap/>
        <w:overflowPunct/>
        <w:topLinePunct w:val="0"/>
        <w:autoSpaceDE/>
        <w:autoSpaceDN/>
        <w:bidi w:val="0"/>
        <w:adjustRightInd w:val="0"/>
        <w:snapToGrid w:val="0"/>
        <w:spacing w:line="360" w:lineRule="auto"/>
      </w:pPr>
    </w:p>
    <w:tbl>
      <w:tblPr>
        <w:tblStyle w:val="2"/>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1"/>
        <w:gridCol w:w="356"/>
        <w:gridCol w:w="356"/>
        <w:gridCol w:w="5468"/>
        <w:gridCol w:w="795"/>
        <w:gridCol w:w="795"/>
        <w:gridCol w:w="795"/>
        <w:gridCol w:w="795"/>
        <w:gridCol w:w="738"/>
        <w:gridCol w:w="795"/>
        <w:gridCol w:w="796"/>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12"/>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2019年部门支出总体情况表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426" w:type="dxa"/>
            <w:gridSpan w:val="5"/>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单位名称：河南省焦作市中级人民法院（汇总）</w:t>
            </w:r>
          </w:p>
        </w:tc>
        <w:tc>
          <w:tcPr>
            <w:tcW w:w="79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79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79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738"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79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613" w:type="dxa"/>
            <w:gridSpan w:val="2"/>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5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55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5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4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5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人员支出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部门支出</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8,829.19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8,829.19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5,860.26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5,047.92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812.34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7,745.67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7,745.67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4,776.74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3,985.02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791.72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7,745.67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7,745.67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4,776.74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3,985.02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791.72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3,664.22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770.42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年终一次性奖金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其他人员支出（绩效考核奖、聘用书记员经费）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行政人员及机关技术工人年工资总额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在职人员公用经费(公务交通补贴)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在职人员公务通讯补贴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司法体制改革保障经费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司法公开与法治宣传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法庭改造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党建、文化建设、文明创建、文体活动经费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审判、办公、执行区域运行维护费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后勤服务保障和机关餐厅伙食补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案件审判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培训训练经费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退诉讼费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办案业务费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诉调对接中心专项经费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案件执行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公告布告专款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设备装备购置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“两庭”建设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06</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信访接待场所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320.80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70%基础性绩效工资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5.47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事业人员及事业技术工人年基本工资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95.67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国家保留津贴(事业)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30%奖励性绩效工资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23.35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0.37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53.76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其他法院支出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装备费—关于提前下达2019年政法转移支付资金的通知（豫财政法[2018]90号）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办案费—关于提前下达2019年政法转移支付资金的通知（豫财政法[2018]90号）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司法救助金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不可预见费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车辆购置费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进修及培训</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605.08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行政事业单位离退休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605.08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未归口管理的行政单位离退休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226.69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退休人员采暖补贴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离休人员平时健康休养费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退休人员物业服务补贴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退休干部活动费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离休人员采暖补贴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离休人员物业服务补贴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退休人员平时健康休养费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退休人员文明奖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离休人员文明奖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离休人员年健康休养费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退休人员年健康休养费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离退休人员公用经费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221</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r>
        <w:drawing>
          <wp:inline distT="0" distB="0" distL="114300" distR="114300">
            <wp:extent cx="8195945" cy="4524375"/>
            <wp:effectExtent l="0" t="0" r="1460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8195945" cy="452437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tbl>
      <w:tblPr>
        <w:tblStyle w:val="2"/>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7"/>
        <w:gridCol w:w="362"/>
        <w:gridCol w:w="362"/>
        <w:gridCol w:w="5664"/>
        <w:gridCol w:w="795"/>
        <w:gridCol w:w="795"/>
        <w:gridCol w:w="1075"/>
        <w:gridCol w:w="1024"/>
        <w:gridCol w:w="795"/>
        <w:gridCol w:w="795"/>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2019年部门一般公共预算支出情况表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640" w:type="dxa"/>
            <w:gridSpan w:val="5"/>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单位名称：河南省焦作市中级人民法院（汇总）</w:t>
            </w:r>
          </w:p>
        </w:tc>
        <w:tc>
          <w:tcPr>
            <w:tcW w:w="79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07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024"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795"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628" w:type="dxa"/>
            <w:gridSpan w:val="2"/>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5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5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5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2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5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部门支出</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8,829.19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5,860.26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5,047.92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812.34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7,745.67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4,776.74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3,985.02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791.72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7,745.67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4,776.74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3,985.02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791.72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2,968.93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4,434.64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3,664.22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770.42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行政人员及机关技术工人年工资总额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其他人员支出（绩效考核奖、聘用书记员经费）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在职人员公用经费(公务交通补贴)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年终一次性奖金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在职人员公务通讯补贴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司法体制改革保障经费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党建、文化建设、文明创建、文体活动经费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审判、办公、执行区域运行维护费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司法公开与法治宣传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法庭改造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后勤服务保障和机关餐厅伙食补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案件审判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770.93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退诉讼费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诉调对接中心专项经费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20.93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办案业务费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培训训练经费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案件执行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设备装备购置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公告布告专款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“两庭”建设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06</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信访接待场所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342.10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320.80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23.35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事业人员及事业技术工人年基本工资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95.67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30%奖励性绩效工资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0.92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国家保留津贴(事业)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70%基础性绩效工资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47.22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其他法院支出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司法救助金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办案费—关于提前下达2019年政法转移支付资金的通知（豫财政法[2018]90号）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车辆购置费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装备费—关于提前下达2019年政法转移支付资金的通知（豫财政法[2018]90号）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204</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不可预见费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进修及培训</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605.08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行政事业单位离退休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611.78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605.08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未归口管理的行政单位离退休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04</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366.25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233.39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226.69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离休人员采暖补贴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退休人员文明奖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退休人员物业服务补贴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离休人员物业服务补贴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退休人员平时健康休养费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退休干部活动费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离退休人员公用经费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离休人员平时健康休养费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退休人员年健康休养费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退休人员采暖补贴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离休人员文明奖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208</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05</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99</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离休人员年健康休养费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12.98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210</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03</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109.87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住房改革支出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221</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02</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01</w:t>
            </w:r>
          </w:p>
        </w:tc>
        <w:tc>
          <w:tcPr>
            <w:tcW w:w="5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219.76 </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tbl>
      <w:tblPr>
        <w:tblStyle w:val="2"/>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7"/>
        <w:gridCol w:w="222"/>
        <w:gridCol w:w="2148"/>
        <w:gridCol w:w="317"/>
        <w:gridCol w:w="222"/>
        <w:gridCol w:w="1091"/>
        <w:gridCol w:w="795"/>
        <w:gridCol w:w="795"/>
        <w:gridCol w:w="629"/>
        <w:gridCol w:w="795"/>
        <w:gridCol w:w="466"/>
        <w:gridCol w:w="1039"/>
        <w:gridCol w:w="466"/>
        <w:gridCol w:w="1281"/>
        <w:gridCol w:w="629"/>
        <w:gridCol w:w="791"/>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17"/>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w:t>
            </w:r>
            <w:r>
              <w:rPr>
                <w:rStyle w:val="7"/>
                <w:lang w:val="en-US" w:eastAsia="zh-CN" w:bidi="ar"/>
              </w:rPr>
              <w:t>9年一般公共预算基本支出情况表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112" w:type="dxa"/>
            <w:gridSpan w:val="7"/>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单位名称：河南省焦作市中级人民法院（汇总）</w:t>
            </w:r>
          </w:p>
        </w:tc>
        <w:tc>
          <w:tcPr>
            <w:tcW w:w="79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629"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795"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6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039"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46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3655"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部门预算经济分类</w:t>
            </w:r>
          </w:p>
        </w:tc>
        <w:tc>
          <w:tcPr>
            <w:tcW w:w="16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政府预算经济分类</w:t>
            </w:r>
          </w:p>
        </w:tc>
        <w:tc>
          <w:tcPr>
            <w:tcW w:w="8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6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w:t>
            </w:r>
          </w:p>
        </w:tc>
        <w:tc>
          <w:tcPr>
            <w:tcW w:w="46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非税收入</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上级专项转移支付</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上年一般公共预算结转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6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6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专项收入</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罚没收入</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国有资源资产有偿使用收入</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其他非税收入</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本级财力</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一般转移支付</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5,860.26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4,825.26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1,035.00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河南省焦作市中级人民法院机关</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5,433.31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4,413.31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98.75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离退休人员公用经费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离休人员采暖补贴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离休人员年健康休养费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离休人员平时健康休养费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离休人员文明奖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离休人员物业服务补贴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年终一次性奖金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其他人员支出（绩效考核奖、聘用书记员经费）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退休干部活动费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退休人员采暖补贴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退休人员年健康休养费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退休人员平时健康休养费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退休人员文明奖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91.20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退休人员物业服务补贴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行政人员及机关技术工人年工资总额</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1,468.73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832.89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832.89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635.84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635.84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329.18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城镇职工基本医疗保险缴费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115.21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327.17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147.14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60.44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52.54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专用材料购置费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87.50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在职人员公务通讯补贴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在职人员公用经费(公务交通补贴)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173.28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255.60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焦作市中级人民法院机关后勤服务中心</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223.74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208.74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30%奖励性绩效工资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70%基础性绩效工资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24.47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24.47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国家保留津贴(事业)</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事业人员及事业技术工人年基本工资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48.10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18.88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18.88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18.88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18.88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城镇职工基本医疗保险缴费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27.65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河南省焦作市中级人民法院诉讼服务中心</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203.21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30%奖励性绩效工资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70%基础性绩效工资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工伤保险费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国家保留津贴(事业)</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年度目标考核奖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其他特岗津贴补贴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生育保险费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失业保险金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其他社会保障性缴费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事业人员及事业技术工人年基本工资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养老保险金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医疗保险金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城镇职工基本医疗保险缴费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月度目标考核奖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在职人员采暖补贴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在职人员定额公用经费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在职人员公用经费（培训费）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在职人员文明奖</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在职人员物业服务补贴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tbl>
      <w:tblPr>
        <w:tblStyle w:val="2"/>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6"/>
        <w:gridCol w:w="5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2019年一般公共预算“三公”经费支出情况表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496" w:type="dxa"/>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单位名称：河南省焦作市中级人民法院（汇总）</w:t>
            </w:r>
          </w:p>
        </w:tc>
        <w:tc>
          <w:tcPr>
            <w:tcW w:w="5461"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5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2019年“三公”经费预算数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共计</w:t>
            </w:r>
          </w:p>
        </w:tc>
        <w:tc>
          <w:tcPr>
            <w:tcW w:w="5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1、因公出国（境）费用</w:t>
            </w:r>
          </w:p>
        </w:tc>
        <w:tc>
          <w:tcPr>
            <w:tcW w:w="5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2、公务接待费</w:t>
            </w:r>
          </w:p>
        </w:tc>
        <w:tc>
          <w:tcPr>
            <w:tcW w:w="5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3、公务用车费</w:t>
            </w:r>
          </w:p>
        </w:tc>
        <w:tc>
          <w:tcPr>
            <w:tcW w:w="5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其中：（1）公务用车运行维护费</w:t>
            </w:r>
          </w:p>
        </w:tc>
        <w:tc>
          <w:tcPr>
            <w:tcW w:w="5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（2）公务用车购置</w:t>
            </w:r>
          </w:p>
        </w:tc>
        <w:tc>
          <w:tcPr>
            <w:tcW w:w="5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496"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5461"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1" w:hRule="atLeast"/>
        </w:trPr>
        <w:tc>
          <w:tcPr>
            <w:tcW w:w="12957"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tbl>
      <w:tblPr>
        <w:tblStyle w:val="2"/>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5"/>
        <w:gridCol w:w="708"/>
        <w:gridCol w:w="706"/>
        <w:gridCol w:w="2531"/>
        <w:gridCol w:w="1315"/>
        <w:gridCol w:w="582"/>
        <w:gridCol w:w="1659"/>
        <w:gridCol w:w="1659"/>
        <w:gridCol w:w="582"/>
        <w:gridCol w:w="1120"/>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2019年部门政府性基金支出情况表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65" w:type="dxa"/>
            <w:gridSpan w:val="5"/>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单位名称：河南省焦作市中级人民法院（汇总））</w:t>
            </w:r>
          </w:p>
        </w:tc>
        <w:tc>
          <w:tcPr>
            <w:tcW w:w="582"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659"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659"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582"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120"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390" w:type="dxa"/>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69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2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人员经费支出</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公用经费支出</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部门支出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tbl>
      <w:tblPr>
        <w:tblStyle w:val="2"/>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12"/>
        <w:gridCol w:w="1788"/>
        <w:gridCol w:w="5190"/>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2019年国有资本经营预算收支表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000" w:type="dxa"/>
            <w:gridSpan w:val="2"/>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单位名称：河南省焦作市中级人民法院（汇总）</w:t>
            </w:r>
          </w:p>
        </w:tc>
        <w:tc>
          <w:tcPr>
            <w:tcW w:w="5190" w:type="dxa"/>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p>
        </w:tc>
        <w:tc>
          <w:tcPr>
            <w:tcW w:w="1767"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收入预算数</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利润收入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解决历史遗留问题及改革成本支出</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股利、股息收入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国有企业资本金注入</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产权转让收入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国有企业政策性补贴</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清算收入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金融国有资本经营预算支出</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其他国有资本经营预算收入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其他国有资本经营预算支出</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上级专项转移支付收入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调出资金</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上年结转收入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4"/>
                <w:szCs w:val="24"/>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4"/>
                <w:szCs w:val="24"/>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4"/>
                <w:szCs w:val="24"/>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收入总计</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支出总计</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b/>
                <w:i w:val="0"/>
                <w:color w:val="000000"/>
                <w:sz w:val="24"/>
                <w:szCs w:val="24"/>
                <w:u w:val="none"/>
              </w:rPr>
            </w:pP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tbl>
      <w:tblPr>
        <w:tblStyle w:val="2"/>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93"/>
        <w:gridCol w:w="5454"/>
        <w:gridCol w:w="4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2957"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947" w:type="dxa"/>
            <w:gridSpan w:val="2"/>
            <w:shd w:val="clear" w:color="auto" w:fill="auto"/>
            <w:vAlign w:val="center"/>
          </w:tcPr>
          <w:p>
            <w:pPr>
              <w:keepNext w:val="0"/>
              <w:keepLines w:val="0"/>
              <w:pageBreakBefore w:val="0"/>
              <w:kinsoku/>
              <w:wordWrap/>
              <w:overflowPunct/>
              <w:topLinePunct w:val="0"/>
              <w:autoSpaceDE/>
              <w:autoSpaceDN/>
              <w:bidi w:val="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单位名称：河南省焦作市中级人民法院（汇总）</w:t>
            </w:r>
          </w:p>
        </w:tc>
        <w:tc>
          <w:tcPr>
            <w:tcW w:w="4010"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机关运行经费支出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left"/>
              <w:rPr>
                <w:rFonts w:hint="eastAsia" w:ascii="宋体" w:hAnsi="宋体" w:eastAsia="宋体" w:cs="宋体"/>
                <w:i w:val="0"/>
                <w:color w:val="000000"/>
                <w:sz w:val="20"/>
                <w:szCs w:val="20"/>
                <w:u w:val="none"/>
              </w:rPr>
            </w:pP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639.06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5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0.50 </w:t>
            </w: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tbl>
      <w:tblPr>
        <w:tblStyle w:val="2"/>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16"/>
        <w:gridCol w:w="752"/>
        <w:gridCol w:w="921"/>
        <w:gridCol w:w="1598"/>
        <w:gridCol w:w="2604"/>
        <w:gridCol w:w="523"/>
        <w:gridCol w:w="746"/>
        <w:gridCol w:w="732"/>
        <w:gridCol w:w="61"/>
        <w:gridCol w:w="63"/>
        <w:gridCol w:w="60"/>
        <w:gridCol w:w="1412"/>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12957" w:type="dxa"/>
            <w:gridSpan w:val="13"/>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2019年预算项目支出绩效目标表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791" w:type="dxa"/>
            <w:gridSpan w:val="5"/>
            <w:shd w:val="clear" w:color="auto" w:fill="auto"/>
            <w:vAlign w:val="center"/>
          </w:tcPr>
          <w:p>
            <w:pPr>
              <w:keepNext w:val="0"/>
              <w:keepLines w:val="0"/>
              <w:pageBreakBefore w:val="0"/>
              <w:kinsoku/>
              <w:wordWrap/>
              <w:overflowPunct/>
              <w:topLinePunct w:val="0"/>
              <w:autoSpaceDE/>
              <w:autoSpaceDN/>
              <w:bidi w:val="0"/>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523"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46"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732"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1"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3"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60"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12"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569"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7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焦作市中级人民法院设备装备购置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3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3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项目概况</w:t>
            </w:r>
          </w:p>
        </w:tc>
        <w:tc>
          <w:tcPr>
            <w:tcW w:w="3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项目类别</w:t>
            </w:r>
          </w:p>
        </w:tc>
        <w:tc>
          <w:tcPr>
            <w:tcW w:w="3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其他项目支出</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项目属性</w:t>
            </w:r>
          </w:p>
        </w:tc>
        <w:tc>
          <w:tcPr>
            <w:tcW w:w="3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项目周期</w:t>
            </w:r>
          </w:p>
        </w:tc>
        <w:tc>
          <w:tcPr>
            <w:tcW w:w="3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1年</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3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赵辉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其中：本级财政资金</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170</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w:t>
            </w:r>
          </w:p>
        </w:tc>
        <w:tc>
          <w:tcPr>
            <w:tcW w:w="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本级财政资金             分年项目预算</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170</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w:t>
            </w:r>
          </w:p>
        </w:tc>
        <w:tc>
          <w:tcPr>
            <w:tcW w:w="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项目基本概况</w:t>
            </w:r>
          </w:p>
        </w:tc>
        <w:tc>
          <w:tcPr>
            <w:tcW w:w="77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保障依法办案的各类办公机具、被装、警用装备、信息化软硬件购置费等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政策依据</w:t>
            </w:r>
          </w:p>
        </w:tc>
        <w:tc>
          <w:tcPr>
            <w:tcW w:w="77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依据市政府安排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项目支出绩效目标与指标</w:t>
            </w:r>
          </w:p>
        </w:tc>
        <w:tc>
          <w:tcPr>
            <w:tcW w:w="3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w:t>
            </w:r>
          </w:p>
        </w:tc>
        <w:tc>
          <w:tcPr>
            <w:tcW w:w="77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完善新审判楼的整体功能，建设智慧法院，方便群众办事，更好 地为我市经济发展提供司法保障。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47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7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及时配齐配全业务设备，保障审判执行业务水平提升</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ascii="宋体" w:hAnsi="宋体" w:eastAsia="宋体" w:cs="宋体"/>
                <w:sz w:val="24"/>
                <w:szCs w:val="24"/>
              </w:rPr>
              <w:t>≥10 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7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符合办案需求，建设智慧法院</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高质量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47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保证质量按进度及时高效完成</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高效率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47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促进审判执行工作，提高群众司法获得感</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上升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47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司法服务与司法保障水平持续提升</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47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社会公众、案件当事人及本院干警满意度</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满意</w:t>
            </w: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tbl>
      <w:tblPr>
        <w:tblStyle w:val="2"/>
        <w:tblW w:w="12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7"/>
        <w:gridCol w:w="446"/>
        <w:gridCol w:w="972"/>
        <w:gridCol w:w="1627"/>
        <w:gridCol w:w="1248"/>
        <w:gridCol w:w="1040"/>
        <w:gridCol w:w="1074"/>
        <w:gridCol w:w="1026"/>
        <w:gridCol w:w="940"/>
        <w:gridCol w:w="1034"/>
        <w:gridCol w:w="1"/>
        <w:gridCol w:w="231"/>
        <w:gridCol w:w="1248"/>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12957" w:type="dxa"/>
            <w:gridSpan w:val="14"/>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2019年预算项目支出绩效目标表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90" w:type="dxa"/>
            <w:gridSpan w:val="5"/>
            <w:shd w:val="clear" w:color="auto" w:fill="auto"/>
            <w:vAlign w:val="center"/>
          </w:tcPr>
          <w:p>
            <w:pPr>
              <w:keepNext w:val="0"/>
              <w:keepLines w:val="0"/>
              <w:pageBreakBefore w:val="0"/>
              <w:kinsoku/>
              <w:wordWrap/>
              <w:overflowPunct/>
              <w:topLinePunct w:val="0"/>
              <w:autoSpaceDE/>
              <w:autoSpaceDN/>
              <w:bidi w:val="0"/>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1040"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74"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26"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940"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034"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232" w:type="dxa"/>
            <w:gridSpan w:val="2"/>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248" w:type="dxa"/>
            <w:shd w:val="clear" w:color="auto" w:fill="auto"/>
            <w:vAlign w:val="center"/>
          </w:tcPr>
          <w:p>
            <w:pPr>
              <w:keepNext w:val="0"/>
              <w:keepLines w:val="0"/>
              <w:pageBreakBefore w:val="0"/>
              <w:kinsoku/>
              <w:wordWrap/>
              <w:overflowPunct/>
              <w:topLinePunct w:val="0"/>
              <w:autoSpaceDE/>
              <w:autoSpaceDN/>
              <w:bidi w:val="0"/>
              <w:jc w:val="right"/>
              <w:rPr>
                <w:rFonts w:hint="eastAsia" w:ascii="宋体" w:hAnsi="宋体" w:eastAsia="宋体" w:cs="宋体"/>
                <w:i w:val="0"/>
                <w:color w:val="000000"/>
                <w:sz w:val="20"/>
                <w:szCs w:val="20"/>
                <w:u w:val="none"/>
              </w:rPr>
            </w:pPr>
          </w:p>
        </w:tc>
        <w:tc>
          <w:tcPr>
            <w:tcW w:w="1473" w:type="dxa"/>
            <w:shd w:val="clear" w:color="auto" w:fill="auto"/>
            <w:vAlign w:val="center"/>
          </w:tcPr>
          <w:p>
            <w:pPr>
              <w:keepNext w:val="0"/>
              <w:keepLines w:val="0"/>
              <w:pageBreakBefore w:val="0"/>
              <w:widowControl/>
              <w:suppressLineNumbers w:val="0"/>
              <w:kinsoku/>
              <w:wordWrap/>
              <w:overflowPunct/>
              <w:topLinePunct w:val="0"/>
              <w:autoSpaceDE/>
              <w:autoSpaceDN/>
              <w:bidi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both"/>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焦作市中级人民法院 审判、办公、执行区域运行维护费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cs="宋体"/>
                <w:i w:val="0"/>
                <w:color w:val="000000"/>
                <w:kern w:val="0"/>
                <w:sz w:val="20"/>
                <w:szCs w:val="20"/>
                <w:u w:val="none"/>
                <w:lang w:val="en-US" w:eastAsia="zh-CN" w:bidi="ar"/>
              </w:rPr>
              <w:t>河南省</w:t>
            </w:r>
            <w:r>
              <w:rPr>
                <w:rFonts w:hint="eastAsia" w:ascii="宋体" w:hAnsi="宋体" w:eastAsia="宋体" w:cs="宋体"/>
                <w:i w:val="0"/>
                <w:color w:val="000000"/>
                <w:kern w:val="0"/>
                <w:sz w:val="20"/>
                <w:szCs w:val="20"/>
                <w:u w:val="none"/>
                <w:lang w:val="en-US" w:eastAsia="zh-CN" w:bidi="ar"/>
              </w:rPr>
              <w:t>焦作市中级人民法院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项目概况</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项目类别</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其他项目支出</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项目属性</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项目周期</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1年</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项目负责人</w:t>
            </w:r>
          </w:p>
        </w:tc>
        <w:tc>
          <w:tcPr>
            <w:tcW w:w="49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赵辉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其中：本级财政资金</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720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w:t>
            </w:r>
          </w:p>
        </w:tc>
        <w:tc>
          <w:tcPr>
            <w:tcW w:w="2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本级财政资金             分年项目预算</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720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w:t>
            </w:r>
          </w:p>
        </w:tc>
        <w:tc>
          <w:tcPr>
            <w:tcW w:w="2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项目基本概况</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保障依法办案的各类办公机具、被装、警用装备、信息化软硬件购置费等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政策依据</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依据市政府安排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项目支出绩效目标与指标</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w:t>
            </w:r>
          </w:p>
        </w:tc>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保障审判办公执行区域设施设备正常运转的各类维护费、网上法院运维费等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定期对各种设备设施维护检查</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ascii="宋体" w:hAnsi="宋体" w:eastAsia="宋体" w:cs="宋体"/>
                <w:sz w:val="24"/>
                <w:szCs w:val="24"/>
              </w:rPr>
              <w:t>≥1</w:t>
            </w:r>
            <w:r>
              <w:rPr>
                <w:rFonts w:hint="eastAsia" w:ascii="宋体" w:hAnsi="宋体" w:cs="宋体"/>
                <w:sz w:val="24"/>
                <w:szCs w:val="24"/>
                <w:lang w:val="en-US" w:eastAsia="zh-CN"/>
              </w:rPr>
              <w:t>2</w:t>
            </w:r>
            <w:r>
              <w:rPr>
                <w:rFonts w:ascii="宋体" w:hAnsi="宋体" w:eastAsia="宋体" w:cs="宋体"/>
                <w:sz w:val="24"/>
                <w:szCs w:val="24"/>
              </w:rPr>
              <w:t xml:space="preserve"> 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符合智慧法院建设质量指标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高质量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保证质量按进度及时高效完成</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高效率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促进审判执行工作，提高群众司法获得感</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上升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司法服务与司法保障水平持续提升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6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社会公众、案件当事人及本院干警满意度</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满意</w:t>
            </w: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tbl>
      <w:tblPr>
        <w:tblStyle w:val="2"/>
        <w:tblW w:w="14786" w:type="dxa"/>
        <w:tblInd w:w="0" w:type="dxa"/>
        <w:tblLayout w:type="fixed"/>
        <w:tblCellMar>
          <w:top w:w="0" w:type="dxa"/>
          <w:left w:w="108" w:type="dxa"/>
          <w:bottom w:w="0" w:type="dxa"/>
          <w:right w:w="108" w:type="dxa"/>
        </w:tblCellMar>
      </w:tblPr>
      <w:tblGrid>
        <w:gridCol w:w="682"/>
        <w:gridCol w:w="682"/>
        <w:gridCol w:w="1575"/>
        <w:gridCol w:w="2483"/>
        <w:gridCol w:w="1203"/>
        <w:gridCol w:w="1277"/>
        <w:gridCol w:w="576"/>
        <w:gridCol w:w="346"/>
        <w:gridCol w:w="352"/>
        <w:gridCol w:w="1674"/>
        <w:gridCol w:w="1449"/>
        <w:gridCol w:w="1251"/>
        <w:gridCol w:w="1014"/>
        <w:gridCol w:w="222"/>
      </w:tblGrid>
      <w:tr>
        <w:tblPrEx>
          <w:tblLayout w:type="fixed"/>
          <w:tblCellMar>
            <w:top w:w="0" w:type="dxa"/>
            <w:left w:w="108" w:type="dxa"/>
            <w:bottom w:w="0" w:type="dxa"/>
            <w:right w:w="108" w:type="dxa"/>
          </w:tblCellMar>
        </w:tblPrEx>
        <w:trPr>
          <w:gridAfter w:val="2"/>
          <w:wAfter w:w="1236" w:type="dxa"/>
          <w:trHeight w:val="660" w:hRule="atLeast"/>
        </w:trPr>
        <w:tc>
          <w:tcPr>
            <w:tcW w:w="13550" w:type="dxa"/>
            <w:gridSpan w:val="1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b/>
                <w:bCs/>
                <w:color w:val="000000"/>
                <w:kern w:val="0"/>
                <w:sz w:val="40"/>
                <w:szCs w:val="40"/>
              </w:rPr>
            </w:pPr>
            <w:r>
              <w:rPr>
                <w:rFonts w:hint="eastAsia" w:ascii="宋体" w:hAnsi="宋体" w:cs="宋体"/>
                <w:b/>
                <w:bCs/>
                <w:color w:val="000000"/>
                <w:kern w:val="0"/>
                <w:sz w:val="40"/>
                <w:szCs w:val="40"/>
              </w:rPr>
              <w:t>2019年预算项目支出绩效目标表</w:t>
            </w:r>
          </w:p>
        </w:tc>
      </w:tr>
      <w:tr>
        <w:tblPrEx>
          <w:tblLayout w:type="fixed"/>
          <w:tblCellMar>
            <w:top w:w="0" w:type="dxa"/>
            <w:left w:w="108" w:type="dxa"/>
            <w:bottom w:w="0" w:type="dxa"/>
            <w:right w:w="108" w:type="dxa"/>
          </w:tblCellMar>
        </w:tblPrEx>
        <w:trPr>
          <w:trHeight w:val="402" w:hRule="atLeast"/>
        </w:trPr>
        <w:tc>
          <w:tcPr>
            <w:tcW w:w="8478" w:type="dxa"/>
            <w:gridSpan w:val="7"/>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kern w:val="0"/>
                <w:sz w:val="24"/>
                <w:szCs w:val="24"/>
              </w:rPr>
            </w:pPr>
            <w:r>
              <w:rPr>
                <w:rFonts w:hint="eastAsia" w:ascii="宋体" w:hAnsi="宋体" w:cs="宋体"/>
                <w:kern w:val="0"/>
                <w:sz w:val="24"/>
                <w:szCs w:val="24"/>
              </w:rPr>
              <w:t>单位名称：焦作市中级人民法院机关后勤服务中心</w:t>
            </w:r>
          </w:p>
        </w:tc>
        <w:tc>
          <w:tcPr>
            <w:tcW w:w="34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jc w:val="right"/>
              <w:textAlignment w:val="auto"/>
              <w:rPr>
                <w:rFonts w:ascii="宋体" w:hAnsi="宋体" w:cs="宋体"/>
                <w:color w:val="000000"/>
                <w:kern w:val="0"/>
                <w:sz w:val="20"/>
                <w:szCs w:val="20"/>
              </w:rPr>
            </w:pPr>
          </w:p>
        </w:tc>
        <w:tc>
          <w:tcPr>
            <w:tcW w:w="5962"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ind w:right="764"/>
              <w:textAlignment w:val="auto"/>
              <w:rPr>
                <w:rFonts w:ascii="宋体" w:hAnsi="宋体" w:cs="宋体"/>
                <w:color w:val="000000"/>
                <w:kern w:val="0"/>
                <w:sz w:val="20"/>
                <w:szCs w:val="20"/>
              </w:rPr>
            </w:pPr>
            <w:r>
              <w:rPr>
                <w:rFonts w:hint="eastAsia" w:ascii="宋体" w:hAnsi="宋体" w:cs="宋体"/>
                <w:color w:val="000000"/>
                <w:kern w:val="0"/>
                <w:sz w:val="20"/>
                <w:szCs w:val="20"/>
              </w:rPr>
              <w:t xml:space="preserve">                          单位：万元</w:t>
            </w:r>
          </w:p>
        </w:tc>
      </w:tr>
      <w:tr>
        <w:tblPrEx>
          <w:tblLayout w:type="fixed"/>
          <w:tblCellMar>
            <w:top w:w="0" w:type="dxa"/>
            <w:left w:w="108" w:type="dxa"/>
            <w:bottom w:w="0" w:type="dxa"/>
            <w:right w:w="108" w:type="dxa"/>
          </w:tblCellMar>
        </w:tblPrEx>
        <w:trPr>
          <w:trHeight w:val="402" w:hRule="atLeast"/>
        </w:trPr>
        <w:tc>
          <w:tcPr>
            <w:tcW w:w="54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项目名称</w:t>
            </w:r>
          </w:p>
        </w:tc>
        <w:tc>
          <w:tcPr>
            <w:tcW w:w="9142"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r>
              <w:rPr>
                <w:rFonts w:hint="eastAsia" w:ascii="宋体" w:hAnsi="宋体" w:cs="宋体"/>
                <w:color w:val="000000"/>
                <w:kern w:val="0"/>
                <w:sz w:val="22"/>
              </w:rPr>
              <w:t>法院后勤服务保障和机关餐厅伙食补　</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54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焦作市中级人民法院　</w:t>
            </w:r>
          </w:p>
        </w:tc>
        <w:tc>
          <w:tcPr>
            <w:tcW w:w="12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实施单位</w:t>
            </w:r>
          </w:p>
        </w:tc>
        <w:tc>
          <w:tcPr>
            <w:tcW w:w="5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textAlignment w:val="auto"/>
              <w:rPr>
                <w:rFonts w:ascii="宋体" w:hAnsi="宋体" w:cs="宋体"/>
                <w:color w:val="000000"/>
                <w:kern w:val="0"/>
                <w:sz w:val="22"/>
              </w:rPr>
            </w:pPr>
            <w:r>
              <w:rPr>
                <w:rFonts w:hint="eastAsia" w:ascii="宋体" w:hAnsi="宋体" w:cs="宋体"/>
                <w:color w:val="000000"/>
                <w:kern w:val="0"/>
                <w:sz w:val="22"/>
              </w:rPr>
              <w:t>焦作市中级人民法院机关后勤服务中心　</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项目概况</w:t>
            </w:r>
          </w:p>
        </w:tc>
        <w:tc>
          <w:tcPr>
            <w:tcW w:w="47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项目类别</w:t>
            </w:r>
          </w:p>
        </w:tc>
        <w:tc>
          <w:tcPr>
            <w:tcW w:w="24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　其他项目支出</w:t>
            </w:r>
          </w:p>
        </w:tc>
        <w:tc>
          <w:tcPr>
            <w:tcW w:w="12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项目属性</w:t>
            </w:r>
          </w:p>
        </w:tc>
        <w:tc>
          <w:tcPr>
            <w:tcW w:w="5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常年性项目　</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526" w:hRule="atLeast"/>
        </w:trPr>
        <w:tc>
          <w:tcPr>
            <w:tcW w:w="68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47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项目周期</w:t>
            </w:r>
          </w:p>
        </w:tc>
        <w:tc>
          <w:tcPr>
            <w:tcW w:w="24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1年　</w:t>
            </w:r>
          </w:p>
        </w:tc>
        <w:tc>
          <w:tcPr>
            <w:tcW w:w="12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项目负责人</w:t>
            </w:r>
          </w:p>
        </w:tc>
        <w:tc>
          <w:tcPr>
            <w:tcW w:w="53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徐运新　</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831" w:hRule="atLeast"/>
        </w:trPr>
        <w:tc>
          <w:tcPr>
            <w:tcW w:w="68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47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资金来源</w:t>
            </w:r>
          </w:p>
        </w:tc>
        <w:tc>
          <w:tcPr>
            <w:tcW w:w="1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其中：本级财政资金</w:t>
            </w:r>
          </w:p>
        </w:tc>
        <w:tc>
          <w:tcPr>
            <w:tcW w:w="12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　57</w:t>
            </w:r>
          </w:p>
        </w:tc>
        <w:tc>
          <w:tcPr>
            <w:tcW w:w="12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上级补助</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　</w:t>
            </w:r>
          </w:p>
        </w:tc>
        <w:tc>
          <w:tcPr>
            <w:tcW w:w="14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其他资金</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　</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559" w:hRule="atLeast"/>
        </w:trPr>
        <w:tc>
          <w:tcPr>
            <w:tcW w:w="68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47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本级财政资金             分年项目预算</w:t>
            </w:r>
          </w:p>
        </w:tc>
        <w:tc>
          <w:tcPr>
            <w:tcW w:w="1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2019年</w:t>
            </w:r>
          </w:p>
        </w:tc>
        <w:tc>
          <w:tcPr>
            <w:tcW w:w="12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 xml:space="preserve">  57　</w:t>
            </w:r>
          </w:p>
        </w:tc>
        <w:tc>
          <w:tcPr>
            <w:tcW w:w="12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2020年</w:t>
            </w:r>
          </w:p>
        </w:tc>
        <w:tc>
          <w:tcPr>
            <w:tcW w:w="16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　</w:t>
            </w:r>
          </w:p>
        </w:tc>
        <w:tc>
          <w:tcPr>
            <w:tcW w:w="14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2021年</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　</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68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47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项目基本概况</w:t>
            </w:r>
          </w:p>
        </w:tc>
        <w:tc>
          <w:tcPr>
            <w:tcW w:w="9142"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cs="宋体" w:asciiTheme="minorEastAsia" w:hAnsiTheme="minorEastAsia" w:eastAsiaTheme="minorEastAsia"/>
                <w:color w:val="000000"/>
                <w:kern w:val="0"/>
                <w:sz w:val="22"/>
              </w:rPr>
            </w:pPr>
            <w:r>
              <w:rPr>
                <w:rFonts w:hint="eastAsia" w:cs="Times New Roman" w:asciiTheme="minorEastAsia" w:hAnsiTheme="minorEastAsia" w:eastAsiaTheme="minorEastAsia"/>
                <w:sz w:val="22"/>
              </w:rPr>
              <w:t>保障后勤服务体系运行和机关餐厅职工就餐等</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68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47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政策依据</w:t>
            </w:r>
          </w:p>
        </w:tc>
        <w:tc>
          <w:tcPr>
            <w:tcW w:w="9142"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依据市政府安排</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682"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项目支出绩效目标与指标</w:t>
            </w:r>
          </w:p>
        </w:tc>
        <w:tc>
          <w:tcPr>
            <w:tcW w:w="47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绩效目标</w:t>
            </w:r>
          </w:p>
        </w:tc>
        <w:tc>
          <w:tcPr>
            <w:tcW w:w="9142"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完善后勤系统的整体运行，保障干警的生活工作安排，为更好的服务干警提供后勤保障。</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329" w:hRule="atLeast"/>
        </w:trPr>
        <w:tc>
          <w:tcPr>
            <w:tcW w:w="68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682"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绩效指标</w:t>
            </w: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一级指标</w:t>
            </w:r>
          </w:p>
        </w:tc>
        <w:tc>
          <w:tcPr>
            <w:tcW w:w="24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二级指标</w:t>
            </w:r>
          </w:p>
        </w:tc>
        <w:tc>
          <w:tcPr>
            <w:tcW w:w="6877"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三级指标</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指标值</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68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68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产出指标</w:t>
            </w:r>
          </w:p>
        </w:tc>
        <w:tc>
          <w:tcPr>
            <w:tcW w:w="24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数量指标</w:t>
            </w:r>
          </w:p>
        </w:tc>
        <w:tc>
          <w:tcPr>
            <w:tcW w:w="6877"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对法院干警提供办公用水，制服干洗、职工理发、就餐、卫生、健康生活等提供服务、</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　≧400人</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68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68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24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质量指标</w:t>
            </w:r>
          </w:p>
        </w:tc>
        <w:tc>
          <w:tcPr>
            <w:tcW w:w="6877"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　对以上项目提供优质的服务质量</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高质量　</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68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68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24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时效指标</w:t>
            </w:r>
          </w:p>
        </w:tc>
        <w:tc>
          <w:tcPr>
            <w:tcW w:w="6877"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　及时有效的完成后勤服务工作</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高效率</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589" w:hRule="atLeast"/>
        </w:trPr>
        <w:tc>
          <w:tcPr>
            <w:tcW w:w="68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jc w:val="left"/>
              <w:textAlignment w:val="auto"/>
              <w:rPr>
                <w:rFonts w:ascii="宋体" w:hAnsi="宋体" w:cs="宋体"/>
                <w:color w:val="000000"/>
                <w:kern w:val="0"/>
                <w:sz w:val="22"/>
              </w:rPr>
            </w:pPr>
          </w:p>
        </w:tc>
        <w:tc>
          <w:tcPr>
            <w:tcW w:w="68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212" w:firstLineChars="100"/>
              <w:jc w:val="left"/>
              <w:textAlignment w:val="auto"/>
              <w:rPr>
                <w:rFonts w:ascii="宋体" w:hAnsi="宋体" w:cs="宋体"/>
                <w:color w:val="000000"/>
                <w:kern w:val="0"/>
                <w:sz w:val="22"/>
              </w:rPr>
            </w:pPr>
            <w:r>
              <w:rPr>
                <w:rFonts w:hint="eastAsia" w:ascii="宋体" w:hAnsi="宋体" w:cs="宋体"/>
                <w:color w:val="000000"/>
                <w:kern w:val="0"/>
                <w:sz w:val="22"/>
              </w:rPr>
              <w:t>效益指标</w:t>
            </w:r>
          </w:p>
        </w:tc>
        <w:tc>
          <w:tcPr>
            <w:tcW w:w="24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可持续影响指标</w:t>
            </w:r>
          </w:p>
        </w:tc>
        <w:tc>
          <w:tcPr>
            <w:tcW w:w="6877"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后勤服务水平持续提升</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textAlignment w:val="auto"/>
              <w:rPr>
                <w:rFonts w:ascii="宋体" w:hAnsi="宋体" w:cs="宋体"/>
                <w:color w:val="000000"/>
                <w:kern w:val="0"/>
                <w:sz w:val="22"/>
              </w:rPr>
            </w:pPr>
            <w:r>
              <w:rPr>
                <w:rFonts w:hint="eastAsia" w:ascii="宋体" w:hAnsi="宋体" w:cs="宋体"/>
                <w:color w:val="000000"/>
                <w:kern w:val="0"/>
                <w:sz w:val="22"/>
              </w:rPr>
              <w:t xml:space="preserve">        长效</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r>
        <w:tblPrEx>
          <w:tblLayout w:type="fixed"/>
          <w:tblCellMar>
            <w:top w:w="0" w:type="dxa"/>
            <w:left w:w="108" w:type="dxa"/>
            <w:bottom w:w="0" w:type="dxa"/>
            <w:right w:w="108" w:type="dxa"/>
          </w:tblCellMar>
        </w:tblPrEx>
        <w:trPr>
          <w:trHeight w:val="519" w:hRule="atLeast"/>
        </w:trPr>
        <w:tc>
          <w:tcPr>
            <w:tcW w:w="68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68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jc w:val="left"/>
              <w:textAlignment w:val="auto"/>
              <w:rPr>
                <w:rFonts w:ascii="宋体" w:hAnsi="宋体" w:cs="宋体"/>
                <w:color w:val="000000"/>
                <w:kern w:val="0"/>
                <w:sz w:val="22"/>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满意度指标</w:t>
            </w:r>
          </w:p>
        </w:tc>
        <w:tc>
          <w:tcPr>
            <w:tcW w:w="24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服务对象满意度指标</w:t>
            </w:r>
          </w:p>
        </w:tc>
        <w:tc>
          <w:tcPr>
            <w:tcW w:w="6877"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本市法院干警满意度</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宋体" w:hAnsi="宋体" w:cs="宋体"/>
                <w:color w:val="000000"/>
                <w:kern w:val="0"/>
                <w:sz w:val="22"/>
              </w:rPr>
            </w:pPr>
            <w:r>
              <w:rPr>
                <w:rFonts w:hint="eastAsia" w:ascii="宋体" w:hAnsi="宋体" w:cs="宋体"/>
                <w:color w:val="000000"/>
                <w:kern w:val="0"/>
                <w:sz w:val="22"/>
              </w:rPr>
              <w:t xml:space="preserve">  满意　</w:t>
            </w:r>
          </w:p>
        </w:tc>
        <w:tc>
          <w:tcPr>
            <w:tcW w:w="222" w:type="dxa"/>
            <w:vAlign w:val="center"/>
          </w:tcPr>
          <w:p>
            <w:pPr>
              <w:keepNext w:val="0"/>
              <w:keepLines w:val="0"/>
              <w:pageBreakBefore w:val="0"/>
              <w:widowControl/>
              <w:kinsoku/>
              <w:wordWrap/>
              <w:overflowPunct/>
              <w:topLinePunct w:val="0"/>
              <w:autoSpaceDE/>
              <w:autoSpaceDN/>
              <w:bidi w:val="0"/>
              <w:jc w:val="left"/>
              <w:textAlignment w:val="auto"/>
              <w:rPr>
                <w:rFonts w:ascii="Times New Roman" w:hAnsi="Times New Roman" w:eastAsia="Times New Roman" w:cs="Times New Roman"/>
                <w:kern w:val="0"/>
                <w:sz w:val="20"/>
                <w:szCs w:val="20"/>
              </w:rPr>
            </w:pPr>
          </w:p>
        </w:tc>
      </w:tr>
    </w:tbl>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rPr>
          <w:rFonts w:hint="eastAsia"/>
          <w:lang w:val="en-US" w:eastAsia="zh-CN"/>
        </w:rPr>
      </w:pPr>
    </w:p>
    <w:sectPr>
      <w:pgSz w:w="16838" w:h="11906" w:orient="landscape"/>
      <w:pgMar w:top="1587" w:right="2154" w:bottom="1474" w:left="1757" w:header="851" w:footer="992" w:gutter="0"/>
      <w:cols w:space="0" w:num="1"/>
      <w:rtlGutter w:val="0"/>
      <w:docGrid w:type="linesAndChars" w:linePitch="315"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2DAA"/>
    <w:multiLevelType w:val="singleLevel"/>
    <w:tmpl w:val="5A4F2DAA"/>
    <w:lvl w:ilvl="0" w:tentative="0">
      <w:start w:val="1"/>
      <w:numFmt w:val="chineseCounting"/>
      <w:suff w:val="nothing"/>
      <w:lvlText w:val="（%1）"/>
      <w:lvlJc w:val="left"/>
    </w:lvl>
  </w:abstractNum>
  <w:abstractNum w:abstractNumId="1">
    <w:nsid w:val="5A796DEC"/>
    <w:multiLevelType w:val="singleLevel"/>
    <w:tmpl w:val="5A796DEC"/>
    <w:lvl w:ilvl="0" w:tentative="0">
      <w:start w:val="1"/>
      <w:numFmt w:val="chineseCounting"/>
      <w:suff w:val="nothing"/>
      <w:lvlText w:val="%1、"/>
      <w:lvlJc w:val="left"/>
    </w:lvl>
  </w:abstractNum>
  <w:abstractNum w:abstractNumId="2">
    <w:nsid w:val="5CF3F78F"/>
    <w:multiLevelType w:val="singleLevel"/>
    <w:tmpl w:val="5CF3F78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1"/>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C84E86"/>
    <w:rsid w:val="052A6309"/>
    <w:rsid w:val="07B27637"/>
    <w:rsid w:val="081E47B7"/>
    <w:rsid w:val="0BEB003D"/>
    <w:rsid w:val="0BFC12C2"/>
    <w:rsid w:val="0E636633"/>
    <w:rsid w:val="0FD55F99"/>
    <w:rsid w:val="115D2E96"/>
    <w:rsid w:val="1272042A"/>
    <w:rsid w:val="12D7584D"/>
    <w:rsid w:val="14E074A9"/>
    <w:rsid w:val="15366140"/>
    <w:rsid w:val="16C021B8"/>
    <w:rsid w:val="170A3FC4"/>
    <w:rsid w:val="17591265"/>
    <w:rsid w:val="1C08599D"/>
    <w:rsid w:val="1C6F7184"/>
    <w:rsid w:val="1D487834"/>
    <w:rsid w:val="20770ABE"/>
    <w:rsid w:val="20DD26A9"/>
    <w:rsid w:val="262C0377"/>
    <w:rsid w:val="26766777"/>
    <w:rsid w:val="2AFE6422"/>
    <w:rsid w:val="2D97621C"/>
    <w:rsid w:val="2E901F18"/>
    <w:rsid w:val="2EE70A03"/>
    <w:rsid w:val="353232E5"/>
    <w:rsid w:val="35563CF9"/>
    <w:rsid w:val="369D45EA"/>
    <w:rsid w:val="39841043"/>
    <w:rsid w:val="3D551166"/>
    <w:rsid w:val="3E8256E4"/>
    <w:rsid w:val="3F7C19DA"/>
    <w:rsid w:val="40442497"/>
    <w:rsid w:val="408647B4"/>
    <w:rsid w:val="42963A8F"/>
    <w:rsid w:val="42971301"/>
    <w:rsid w:val="4A2C254E"/>
    <w:rsid w:val="4BC00A7C"/>
    <w:rsid w:val="4C6D0481"/>
    <w:rsid w:val="4D662DC1"/>
    <w:rsid w:val="52E0623F"/>
    <w:rsid w:val="54860941"/>
    <w:rsid w:val="563143D7"/>
    <w:rsid w:val="58F51B38"/>
    <w:rsid w:val="5966555F"/>
    <w:rsid w:val="5C682E60"/>
    <w:rsid w:val="5C945E33"/>
    <w:rsid w:val="5FB86371"/>
    <w:rsid w:val="5FC5627C"/>
    <w:rsid w:val="619E02FF"/>
    <w:rsid w:val="65BF5CF2"/>
    <w:rsid w:val="66AB505E"/>
    <w:rsid w:val="67545B2D"/>
    <w:rsid w:val="68B5251F"/>
    <w:rsid w:val="68C150ED"/>
    <w:rsid w:val="6A9703EA"/>
    <w:rsid w:val="6E35646A"/>
    <w:rsid w:val="6E625960"/>
    <w:rsid w:val="6EA86553"/>
    <w:rsid w:val="711E0931"/>
    <w:rsid w:val="719A0816"/>
    <w:rsid w:val="74DE6700"/>
    <w:rsid w:val="751B408E"/>
    <w:rsid w:val="778F4408"/>
    <w:rsid w:val="77E26FB7"/>
    <w:rsid w:val="78093E65"/>
    <w:rsid w:val="7BEB39B7"/>
    <w:rsid w:val="7E6547A5"/>
    <w:rsid w:val="7EA24D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0"/>
      <w:szCs w:val="20"/>
      <w:u w:val="none"/>
    </w:rPr>
  </w:style>
  <w:style w:type="character" w:customStyle="1" w:styleId="5">
    <w:name w:val="font31"/>
    <w:basedOn w:val="3"/>
    <w:qFormat/>
    <w:uiPriority w:val="0"/>
    <w:rPr>
      <w:rFonts w:hint="eastAsia" w:ascii="宋体" w:hAnsi="宋体" w:eastAsia="宋体" w:cs="宋体"/>
      <w:b/>
      <w:color w:val="000000"/>
      <w:sz w:val="40"/>
      <w:szCs w:val="40"/>
      <w:u w:val="none"/>
    </w:rPr>
  </w:style>
  <w:style w:type="character" w:customStyle="1" w:styleId="6">
    <w:name w:val="font11"/>
    <w:basedOn w:val="3"/>
    <w:qFormat/>
    <w:uiPriority w:val="0"/>
    <w:rPr>
      <w:rFonts w:hint="eastAsia" w:ascii="宋体" w:hAnsi="宋体" w:eastAsia="宋体" w:cs="宋体"/>
      <w:b/>
      <w:color w:val="000000"/>
      <w:sz w:val="40"/>
      <w:szCs w:val="40"/>
      <w:u w:val="none"/>
    </w:rPr>
  </w:style>
  <w:style w:type="character" w:customStyle="1" w:styleId="7">
    <w:name w:val="font21"/>
    <w:basedOn w:val="3"/>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2018-01-04T09:29:00Z</dcterms:created>
  <dc:creator>Administrator</dc:creator>
  <cp:lastModifiedBy>Administrator</cp:lastModifiedBy>
  <cp:lastPrinted>2018-08-06T00:36:00Z</cp:lastPrinted>
  <dcterms:modified xsi:type="dcterms:W3CDTF">2019-05-24T07:39:02Z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