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bidi w:val="0"/>
        <w:numPr>
          <w:ilvl w:val="0"/>
          <w:numId w:val="0"/>
        </w:numPr>
        <w:jc w:val="left"/>
        <w:spacing w:lineRule="auto" w:line="360" w:before="0" w:after="160"/>
        <w:pageBreakBefore w:val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160"/>
        <w:pageBreakBefore w:val="0"/>
        <w:ind w:right="0" w:firstLine="0"/>
        <w:rPr>
          <w:color w:val="auto"/>
          <w:position w:val="0"/>
          <w:sz w:val="28"/>
          <w:szCs w:val="28"/>
          <w:rFonts w:ascii="黑体" w:eastAsia="宋体" w:hAnsi="宋体" w:hint="default"/>
        </w:rPr>
        <w:autoSpaceDE w:val="1"/>
        <w:autoSpaceDN w:val="1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160"/>
        <w:pageBreakBefore w:val="0"/>
        <w:ind w:right="0" w:firstLine="0"/>
        <w:rPr>
          <w:color w:val="auto"/>
          <w:position w:val="0"/>
          <w:sz w:val="28"/>
          <w:szCs w:val="28"/>
          <w:rFonts w:ascii="黑体" w:eastAsia="宋体" w:hAnsi="宋体" w:hint="default"/>
        </w:rPr>
        <w:autoSpaceDE w:val="1"/>
        <w:autoSpaceDN w:val="1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160"/>
        <w:pageBreakBefore w:val="0"/>
        <w:ind w:right="0" w:firstLine="0"/>
        <w:rPr>
          <w:color w:val="auto"/>
          <w:position w:val="0"/>
          <w:sz w:val="28"/>
          <w:szCs w:val="28"/>
          <w:rFonts w:ascii="黑体" w:eastAsia="宋体" w:hAnsi="宋体" w:hint="default"/>
        </w:rPr>
        <w:autoSpaceDE w:val="1"/>
        <w:autoSpaceDN w:val="1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160"/>
        <w:pageBreakBefore w:val="0"/>
        <w:ind w:right="0" w:firstLine="0"/>
        <w:rPr>
          <w:color w:val="auto"/>
          <w:position w:val="0"/>
          <w:sz w:val="28"/>
          <w:szCs w:val="28"/>
          <w:rFonts w:ascii="黑体" w:eastAsia="宋体" w:hAnsi="宋体" w:hint="default"/>
        </w:rPr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pacing w:lineRule="auto" w:line="240" w:before="0" w:after="160"/>
        <w:pageBreakBefore w:val="0"/>
        <w:ind w:right="0" w:firstLine="0"/>
        <w:rPr>
          <w:b w:val="1"/>
          <w:color w:val="auto"/>
          <w:position w:val="0"/>
          <w:sz w:val="52"/>
          <w:szCs w:val="52"/>
          <w:rFonts w:ascii="黑体" w:eastAsia="黑体" w:hAnsi="黑体" w:hint="default"/>
        </w:rPr>
        <w:autoSpaceDE w:val="1"/>
        <w:autoSpaceDN w:val="1"/>
      </w:pPr>
      <w:r>
        <w:rPr>
          <w:b w:val="1"/>
          <w:color w:val="auto"/>
          <w:position w:val="0"/>
          <w:sz w:val="52"/>
          <w:szCs w:val="52"/>
          <w:rFonts w:ascii="黑体" w:eastAsia="黑体" w:hAnsi="黑体" w:hint="default"/>
        </w:rPr>
        <w:t>焦作市中级人民法院</w:t>
      </w:r>
    </w:p>
    <w:p>
      <w:pPr>
        <w:bidi w:val="0"/>
        <w:numPr>
          <w:ilvl w:val="0"/>
          <w:numId w:val="0"/>
        </w:numPr>
        <w:jc w:val="center"/>
        <w:spacing w:lineRule="auto" w:line="240" w:before="0" w:after="160"/>
        <w:pageBreakBefore w:val="0"/>
        <w:ind w:right="0" w:firstLine="0"/>
        <w:rPr>
          <w:b w:val="1"/>
          <w:color w:val="auto"/>
          <w:position w:val="0"/>
          <w:sz w:val="52"/>
          <w:szCs w:val="52"/>
          <w:rFonts w:ascii="黑体" w:eastAsia="黑体" w:hAnsi="黑体" w:hint="default"/>
        </w:rPr>
        <w:autoSpaceDE w:val="1"/>
        <w:autoSpaceDN w:val="1"/>
      </w:pPr>
      <w:r>
        <w:rPr>
          <w:b w:val="1"/>
          <w:color w:val="auto"/>
          <w:position w:val="0"/>
          <w:sz w:val="52"/>
          <w:szCs w:val="52"/>
          <w:rFonts w:ascii="黑体" w:eastAsia="黑体" w:hAnsi="黑体" w:hint="default"/>
        </w:rPr>
        <w:t>机关后勤服务中心</w:t>
      </w:r>
    </w:p>
    <w:p>
      <w:pPr>
        <w:bidi w:val="0"/>
        <w:numPr>
          <w:ilvl w:val="0"/>
          <w:numId w:val="0"/>
        </w:numPr>
        <w:jc w:val="center"/>
        <w:spacing w:lineRule="auto" w:line="240" w:before="0" w:after="160"/>
        <w:pageBreakBefore w:val="0"/>
        <w:ind w:right="0" w:firstLine="0"/>
        <w:rPr>
          <w:b w:val="1"/>
          <w:color w:val="auto"/>
          <w:position w:val="0"/>
          <w:sz w:val="52"/>
          <w:szCs w:val="52"/>
          <w:rFonts w:ascii="黑体" w:eastAsia="黑体" w:hAnsi="黑体" w:hint="default"/>
        </w:rPr>
        <w:autoSpaceDE w:val="1"/>
        <w:autoSpaceDN w:val="1"/>
      </w:pPr>
      <w:r>
        <w:rPr>
          <w:b w:val="1"/>
          <w:color w:val="auto"/>
          <w:position w:val="0"/>
          <w:sz w:val="52"/>
          <w:szCs w:val="52"/>
          <w:rFonts w:ascii="黑体" w:eastAsia="黑体" w:hAnsi="黑体" w:hint="default"/>
        </w:rPr>
        <w:t>2019年度部门预算</w:t>
      </w:r>
    </w:p>
    <w:p>
      <w:pPr>
        <w:bidi w:val="0"/>
        <w:numPr>
          <w:ilvl w:val="0"/>
          <w:numId w:val="0"/>
        </w:numPr>
        <w:jc w:val="center"/>
        <w:spacing w:lineRule="auto" w:line="240" w:before="0" w:after="160"/>
        <w:pageBreakBefore w:val="0"/>
        <w:ind w:right="0" w:firstLine="0"/>
        <w:rPr>
          <w:color w:val="auto"/>
          <w:position w:val="0"/>
          <w:sz w:val="52"/>
          <w:szCs w:val="52"/>
          <w:rFonts w:ascii="黑体" w:eastAsia="黑体" w:hAnsi="黑体" w:hint="default"/>
        </w:rPr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pacing w:lineRule="auto" w:line="240" w:before="0" w:after="160"/>
        <w:pageBreakBefore w:val="0"/>
        <w:ind w:right="0" w:firstLine="0"/>
        <w:rPr>
          <w:color w:val="auto"/>
          <w:position w:val="0"/>
          <w:sz w:val="52"/>
          <w:szCs w:val="52"/>
          <w:rFonts w:ascii="黑体" w:eastAsia="黑体" w:hAnsi="黑体" w:hint="default"/>
        </w:rPr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pacing w:lineRule="auto" w:line="240" w:before="0" w:after="160"/>
        <w:pageBreakBefore w:val="0"/>
        <w:ind w:right="0" w:firstLine="0"/>
        <w:rPr>
          <w:color w:val="auto"/>
          <w:position w:val="0"/>
          <w:sz w:val="52"/>
          <w:szCs w:val="52"/>
          <w:rFonts w:ascii="黑体" w:eastAsia="黑体" w:hAnsi="黑体" w:hint="default"/>
        </w:rPr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pacing w:lineRule="auto" w:line="240" w:before="0" w:after="160"/>
        <w:pageBreakBefore w:val="0"/>
        <w:ind w:right="0" w:firstLine="0"/>
        <w:rPr>
          <w:color w:val="auto"/>
          <w:position w:val="0"/>
          <w:sz w:val="52"/>
          <w:szCs w:val="52"/>
          <w:rFonts w:ascii="黑体" w:eastAsia="黑体" w:hAnsi="黑体" w:hint="default"/>
        </w:rPr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pacing w:lineRule="auto" w:line="240" w:before="0" w:after="160"/>
        <w:pageBreakBefore w:val="0"/>
        <w:ind w:right="0" w:firstLine="0"/>
        <w:rPr>
          <w:color w:val="auto"/>
          <w:position w:val="0"/>
          <w:sz w:val="52"/>
          <w:szCs w:val="52"/>
          <w:rFonts w:ascii="黑体" w:eastAsia="黑体" w:hAnsi="黑体" w:hint="default"/>
        </w:rPr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pacing w:lineRule="auto" w:line="360" w:before="0" w:after="160"/>
        <w:pageBreakBefore w:val="0"/>
        <w:ind w:right="0" w:firstLine="0"/>
        <w:rPr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3569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pacing w:lineRule="auto" w:line="360" w:before="0" w:after="160"/>
        <w:pageBreakBefore w:val="0"/>
        <w:ind w:left="-142" w:right="51" w:firstLine="30"/>
        <w:rPr>
          <w:color w:val="auto"/>
          <w:position w:val="0"/>
          <w:sz w:val="44"/>
          <w:szCs w:val="44"/>
          <w:rFonts w:ascii="黑体" w:eastAsia="黑体" w:hAnsi="黑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44"/>
          <w:szCs w:val="44"/>
          <w:rFonts w:ascii="黑体" w:eastAsia="黑体" w:hAnsi="黑体" w:hint="default"/>
        </w:rPr>
        <w:t xml:space="preserve">目  </w:t>
      </w:r>
      <w:r>
        <w:rPr>
          <w:spacing w:val="2"/>
          <w:color w:val="auto"/>
          <w:position w:val="0"/>
          <w:sz w:val="44"/>
          <w:szCs w:val="44"/>
          <w:rFonts w:ascii="黑体" w:eastAsia="黑体" w:hAnsi="黑体" w:hint="default"/>
        </w:rPr>
        <w:t xml:space="preserve"> </w:t>
      </w:r>
      <w:r>
        <w:rPr>
          <w:color w:val="auto"/>
          <w:position w:val="0"/>
          <w:sz w:val="44"/>
          <w:szCs w:val="44"/>
          <w:rFonts w:ascii="黑体" w:eastAsia="黑体" w:hAnsi="黑体" w:hint="default"/>
        </w:rPr>
        <w:t>录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3569" w:firstLine="624"/>
        <w:rPr>
          <w:color w:val="auto"/>
          <w:position w:val="0"/>
          <w:sz w:val="32"/>
          <w:szCs w:val="32"/>
          <w:w w:val="99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第一部分  概况</w:t>
      </w:r>
      <w:r>
        <w:rPr>
          <w:color w:val="auto"/>
          <w:position w:val="0"/>
          <w:sz w:val="32"/>
          <w:szCs w:val="32"/>
          <w:w w:val="99"/>
          <w:rFonts w:ascii="仿宋_GB2312" w:eastAsia="仿宋_GB2312" w:hAnsi="仿宋_GB2312" w:hint="default"/>
        </w:rPr>
        <w:t xml:space="preserve"> </w:t>
      </w:r>
    </w:p>
    <w:p>
      <w:pPr>
        <w:bidi w:val="0"/>
        <w:numPr>
          <w:ilvl w:val="0"/>
          <w:numId w:val="0"/>
        </w:numPr>
        <w:jc w:val="left"/>
        <w:spacing w:lineRule="auto" w:line="360" w:before="0" w:after="160"/>
        <w:pageBreakBefore w:val="0"/>
        <w:ind w:right="3569" w:firstLine="936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一、主要职能</w:t>
      </w:r>
    </w:p>
    <w:p>
      <w:pPr>
        <w:bidi w:val="0"/>
        <w:numPr>
          <w:ilvl w:val="0"/>
          <w:numId w:val="0"/>
        </w:numPr>
        <w:jc w:val="left"/>
        <w:spacing w:lineRule="auto" w:line="360" w:before="0" w:after="160"/>
        <w:pageBreakBefore w:val="0"/>
        <w:ind w:right="3569" w:firstLine="936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二、单位结构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521" w:firstLine="624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第二部门 2019年部门预算情况说明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521" w:firstLine="624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第三部分 名词解释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spacing w:val="-32"/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附件：</w:t>
      </w:r>
      <w:r>
        <w:rPr>
          <w:spacing w:val="-32"/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 2019</w:t>
      </w:r>
      <w:r>
        <w:rPr>
          <w:spacing w:val="-116"/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</w:t>
      </w: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年度部门预算表</w:t>
      </w:r>
    </w:p>
    <w:p>
      <w:pPr>
        <w:bidi w:val="0"/>
        <w:numPr>
          <w:ilvl w:val="0"/>
          <w:numId w:val="0"/>
        </w:numPr>
        <w:jc w:val="left"/>
        <w:spacing w:lineRule="auto" w:line="360" w:before="0" w:after="160"/>
        <w:pageBreakBefore w:val="0"/>
        <w:ind w:right="51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     一、部门收支总体情况表</w:t>
      </w:r>
    </w:p>
    <w:p>
      <w:pPr>
        <w:bidi w:val="0"/>
        <w:numPr>
          <w:ilvl w:val="0"/>
          <w:numId w:val="0"/>
        </w:numPr>
        <w:jc w:val="left"/>
        <w:spacing w:lineRule="auto" w:line="360" w:before="0" w:after="160"/>
        <w:pageBreakBefore w:val="0"/>
        <w:ind w:right="51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     二、部门收入总体情况表</w:t>
      </w:r>
    </w:p>
    <w:p>
      <w:pPr>
        <w:bidi w:val="0"/>
        <w:numPr>
          <w:ilvl w:val="0"/>
          <w:numId w:val="0"/>
        </w:numPr>
        <w:jc w:val="left"/>
        <w:spacing w:lineRule="auto" w:line="360" w:before="0" w:after="160"/>
        <w:pageBreakBefore w:val="0"/>
        <w:ind w:right="51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     三、部门支出总体情况表</w:t>
      </w:r>
    </w:p>
    <w:p>
      <w:pPr>
        <w:bidi w:val="0"/>
        <w:numPr>
          <w:ilvl w:val="0"/>
          <w:numId w:val="0"/>
        </w:numPr>
        <w:jc w:val="left"/>
        <w:spacing w:lineRule="auto" w:line="360" w:before="0" w:after="160"/>
        <w:pageBreakBefore w:val="0"/>
        <w:ind w:right="51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     四、财政拨款收支总体情况表</w:t>
      </w:r>
    </w:p>
    <w:p>
      <w:pPr>
        <w:bidi w:val="0"/>
        <w:numPr>
          <w:ilvl w:val="0"/>
          <w:numId w:val="0"/>
        </w:numPr>
        <w:jc w:val="left"/>
        <w:spacing w:lineRule="auto" w:line="360" w:before="0" w:after="160"/>
        <w:pageBreakBefore w:val="0"/>
        <w:ind w:right="51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     五、一般公共预算支出情况表</w:t>
      </w:r>
    </w:p>
    <w:p>
      <w:pPr>
        <w:bidi w:val="0"/>
        <w:numPr>
          <w:ilvl w:val="0"/>
          <w:numId w:val="0"/>
        </w:numPr>
        <w:jc w:val="left"/>
        <w:spacing w:lineRule="auto" w:line="360" w:before="0" w:after="160"/>
        <w:pageBreakBefore w:val="0"/>
        <w:ind w:right="51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     六、一般公共预算基本支出情况表</w:t>
      </w:r>
    </w:p>
    <w:p>
      <w:pPr>
        <w:bidi w:val="0"/>
        <w:numPr>
          <w:ilvl w:val="0"/>
          <w:numId w:val="0"/>
        </w:numPr>
        <w:jc w:val="left"/>
        <w:spacing w:lineRule="auto" w:line="360" w:before="0" w:after="160"/>
        <w:pageBreakBefore w:val="0"/>
        <w:ind w:right="51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     七、一般公共预算“三公”经费支出情况表</w:t>
      </w:r>
    </w:p>
    <w:p>
      <w:pPr>
        <w:bidi w:val="0"/>
        <w:numPr>
          <w:ilvl w:val="0"/>
          <w:numId w:val="0"/>
        </w:numPr>
        <w:jc w:val="left"/>
        <w:spacing w:lineRule="auto" w:line="360" w:before="0" w:after="160"/>
        <w:pageBreakBefore w:val="0"/>
        <w:ind w:right="51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     八、政府性基金预算支出情况表</w:t>
      </w:r>
    </w:p>
    <w:p>
      <w:pPr>
        <w:bidi w:val="0"/>
        <w:numPr>
          <w:ilvl w:val="0"/>
          <w:numId w:val="0"/>
        </w:numPr>
        <w:jc w:val="left"/>
        <w:spacing w:lineRule="auto" w:line="360" w:before="0" w:after="160"/>
        <w:pageBreakBefore w:val="0"/>
        <w:ind w:right="51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     九、国有资本经营预算收支情况表</w:t>
      </w:r>
    </w:p>
    <w:p>
      <w:pPr>
        <w:bidi w:val="0"/>
        <w:numPr>
          <w:ilvl w:val="0"/>
          <w:numId w:val="0"/>
        </w:numPr>
        <w:jc w:val="left"/>
        <w:spacing w:lineRule="auto" w:line="360" w:before="0" w:after="160"/>
        <w:pageBreakBefore w:val="0"/>
        <w:ind w:right="51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     十、机关运行经费</w:t>
      </w:r>
    </w:p>
    <w:p>
      <w:pPr>
        <w:bidi w:val="0"/>
        <w:numPr>
          <w:ilvl w:val="0"/>
          <w:numId w:val="0"/>
        </w:numPr>
        <w:jc w:val="left"/>
        <w:spacing w:lineRule="auto" w:line="360" w:before="0" w:after="160"/>
        <w:pageBreakBefore w:val="0"/>
        <w:ind w:right="51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     十一、预算项目支出绩效目标表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3744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3744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3744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3744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3744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0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0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0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0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0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0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pacing w:lineRule="auto" w:line="360" w:before="0" w:after="160"/>
        <w:pageBreakBefore w:val="0"/>
        <w:ind w:right="0" w:firstLine="0"/>
        <w:rPr>
          <w:color w:val="auto"/>
          <w:position w:val="0"/>
          <w:sz w:val="36"/>
          <w:szCs w:val="36"/>
          <w:rFonts w:ascii="黑体" w:eastAsia="黑体" w:hAnsi="黑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36"/>
          <w:szCs w:val="36"/>
          <w:rFonts w:ascii="黑体" w:eastAsia="黑体" w:hAnsi="黑体" w:hint="default"/>
        </w:rPr>
        <w:t>第一部分</w:t>
      </w:r>
    </w:p>
    <w:p>
      <w:pPr>
        <w:bidi w:val="0"/>
        <w:numPr>
          <w:ilvl w:val="0"/>
          <w:numId w:val="0"/>
        </w:numPr>
        <w:jc w:val="center"/>
        <w:spacing w:lineRule="auto" w:line="360" w:before="0" w:after="160"/>
        <w:pageBreakBefore w:val="0"/>
        <w:ind w:right="0" w:firstLine="0"/>
        <w:rPr>
          <w:color w:val="auto"/>
          <w:position w:val="0"/>
          <w:sz w:val="36"/>
          <w:szCs w:val="36"/>
          <w:rFonts w:ascii="黑体" w:eastAsia="黑体" w:hAnsi="黑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36"/>
          <w:szCs w:val="36"/>
          <w:rFonts w:ascii="黑体" w:eastAsia="黑体" w:hAnsi="黑体" w:hint="default"/>
        </w:rPr>
        <w:t>焦作市中级人民法院机关后勤服务中心概况</w:t>
      </w:r>
    </w:p>
    <w:p>
      <w:pPr>
        <w:bidi w:val="0"/>
        <w:numPr>
          <w:ilvl w:val="0"/>
          <w:numId w:val="0"/>
        </w:numPr>
        <w:jc w:val="center"/>
        <w:spacing w:lineRule="auto" w:line="360" w:before="0" w:after="160"/>
        <w:pageBreakBefore w:val="0"/>
        <w:ind w:right="0" w:firstLine="624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0"/>
        <w:rPr>
          <w:b w:val="1"/>
          <w:color w:val="auto"/>
          <w:position w:val="0"/>
          <w:sz w:val="36"/>
          <w:szCs w:val="36"/>
          <w:rFonts w:ascii="仿宋_GB2312" w:eastAsia="仿宋_GB2312" w:hAnsi="仿宋_GB2312" w:hint="default"/>
        </w:rPr>
        <w:outlineLvl w:val="0"/>
        <w:snapToGrid w:val="off"/>
        <w:autoSpaceDE w:val="1"/>
        <w:autoSpaceDN w:val="1"/>
      </w:pPr>
      <w:r>
        <w:rPr>
          <w:b w:val="1"/>
          <w:color w:val="auto"/>
          <w:position w:val="0"/>
          <w:sz w:val="36"/>
          <w:szCs w:val="36"/>
          <w:rFonts w:ascii="仿宋_GB2312" w:eastAsia="仿宋_GB2312" w:hAnsi="仿宋_GB2312" w:hint="default"/>
        </w:rPr>
        <w:t xml:space="preserve">   一、主要职能</w:t>
      </w:r>
    </w:p>
    <w:p>
      <w:pPr>
        <w:bidi w:val="0"/>
        <w:numPr>
          <w:ilvl w:val="0"/>
          <w:numId w:val="0"/>
        </w:numPr>
        <w:jc w:val="left"/>
        <w:spacing w:lineRule="auto" w:line="360" w:before="0" w:after="160"/>
        <w:pageBreakBefore w:val="0"/>
        <w:ind w:right="3569" w:firstLine="0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  </w:t>
      </w: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（一）机构设置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160"/>
        <w:pageBreakBefore w:val="0"/>
        <w:ind w:right="0" w:firstLine="645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焦作市中级人民法院机关后勤服务中心是焦作市中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级人民法院下属的正科级事业单位，事业编制数20人，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实有18人，其中副科实职3人，科员及以下15人；另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有聘用制人员6人。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312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</w:t>
      </w: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（二）部门职责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焦作市中级人民法院机关后勤服务中心主要职责是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为法院机关提供后勤服务保障。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528"/>
        <w:rPr>
          <w:b w:val="1"/>
          <w:color w:val="auto"/>
          <w:position w:val="0"/>
          <w:sz w:val="36"/>
          <w:szCs w:val="36"/>
          <w:rFonts w:ascii="仿宋_GB2312" w:eastAsia="仿宋_GB2312" w:hAnsi="仿宋_GB2312" w:hint="default"/>
        </w:rPr>
        <w:autoSpaceDE w:val="1"/>
        <w:autoSpaceDN w:val="1"/>
      </w:pPr>
      <w:r>
        <w:rPr>
          <w:b w:val="1"/>
          <w:color w:val="auto"/>
          <w:position w:val="0"/>
          <w:sz w:val="36"/>
          <w:szCs w:val="36"/>
          <w:rFonts w:ascii="仿宋_GB2312" w:eastAsia="仿宋_GB2312" w:hAnsi="仿宋_GB2312" w:hint="default"/>
        </w:rPr>
        <w:t>二、部门预算单位构成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   焦作市中级人民法院机关后勤服务中心为本级预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算单位。</w:t>
      </w:r>
    </w:p>
    <w:p>
      <w:pPr>
        <w:bidi w:val="0"/>
        <w:numPr>
          <w:ilvl w:val="0"/>
          <w:numId w:val="0"/>
        </w:numPr>
        <w:jc w:val="center"/>
        <w:spacing w:lineRule="auto" w:line="360" w:before="0" w:after="160"/>
        <w:pageBreakBefore w:val="0"/>
        <w:ind w:right="0" w:firstLine="624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pacing w:lineRule="auto" w:line="360" w:before="0" w:after="160"/>
        <w:pageBreakBefore w:val="0"/>
        <w:ind w:right="0" w:firstLine="624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bidi w:val="0"/>
        <w:numPr>
          <w:ilvl w:val="0"/>
          <w:numId w:val="0"/>
        </w:numPr>
        <w:jc w:val="left"/>
        <w:spacing w:lineRule="auto" w:line="360" w:before="0" w:after="160"/>
        <w:pageBreakBefore w:val="0"/>
        <w:ind w:right="0" w:firstLine="704"/>
        <w:rPr>
          <w:b w:val="1"/>
          <w:color w:val="auto"/>
          <w:position w:val="0"/>
          <w:sz w:val="36"/>
          <w:szCs w:val="36"/>
          <w:rFonts w:ascii="仿宋_GB2312" w:eastAsia="仿宋_GB2312" w:hAnsi="仿宋_GB2312" w:hint="default"/>
        </w:rPr>
        <w:autoSpaceDE w:val="1"/>
        <w:autoSpaceDN w:val="1"/>
      </w:pPr>
      <w:r>
        <w:rPr>
          <w:b w:val="1"/>
          <w:color w:val="auto"/>
          <w:position w:val="0"/>
          <w:sz w:val="36"/>
          <w:szCs w:val="36"/>
          <w:rFonts w:ascii="仿宋_GB2312" w:eastAsia="仿宋_GB2312" w:hAnsi="仿宋_GB2312" w:hint="default"/>
        </w:rPr>
        <w:t xml:space="preserve">                 </w:t>
      </w:r>
    </w:p>
    <w:p>
      <w:pPr>
        <w:bidi w:val="0"/>
        <w:numPr>
          <w:ilvl w:val="0"/>
          <w:numId w:val="0"/>
        </w:numPr>
        <w:jc w:val="left"/>
        <w:spacing w:lineRule="auto" w:line="360" w:before="0" w:after="160"/>
        <w:pageBreakBefore w:val="0"/>
        <w:ind w:right="0" w:firstLine="704"/>
        <w:rPr>
          <w:b w:val="1"/>
          <w:color w:val="auto"/>
          <w:position w:val="0"/>
          <w:sz w:val="36"/>
          <w:szCs w:val="36"/>
          <w:rFonts w:ascii="仿宋_GB2312" w:eastAsia="仿宋_GB2312" w:hAnsi="仿宋_GB2312" w:hint="default"/>
        </w:rPr>
        <w:autoSpaceDE w:val="1"/>
        <w:autoSpaceDN w:val="1"/>
      </w:pPr>
    </w:p>
    <w:p>
      <w:pPr>
        <w:bidi w:val="0"/>
        <w:numPr>
          <w:ilvl w:val="0"/>
          <w:numId w:val="0"/>
        </w:numPr>
        <w:jc w:val="left"/>
        <w:spacing w:lineRule="auto" w:line="360" w:before="0" w:after="160"/>
        <w:pageBreakBefore w:val="0"/>
        <w:ind w:right="0" w:firstLine="704"/>
        <w:rPr>
          <w:b w:val="1"/>
          <w:color w:val="auto"/>
          <w:position w:val="0"/>
          <w:sz w:val="36"/>
          <w:szCs w:val="36"/>
          <w:rFonts w:ascii="仿宋_GB2312" w:eastAsia="仿宋_GB2312" w:hAnsi="仿宋_GB2312" w:hint="default"/>
        </w:rPr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pacing w:lineRule="auto" w:line="360" w:before="0" w:after="160"/>
        <w:pageBreakBefore w:val="0"/>
        <w:ind w:right="0" w:firstLine="704"/>
        <w:rPr>
          <w:b w:val="1"/>
          <w:color w:val="auto"/>
          <w:position w:val="0"/>
          <w:sz w:val="36"/>
          <w:szCs w:val="36"/>
          <w:rFonts w:ascii="仿宋_GB2312" w:eastAsia="仿宋_GB2312" w:hAnsi="仿宋_GB2312" w:hint="default"/>
        </w:rPr>
        <w:autoSpaceDE w:val="1"/>
        <w:autoSpaceDN w:val="1"/>
      </w:pPr>
      <w:r>
        <w:rPr>
          <w:b w:val="1"/>
          <w:color w:val="auto"/>
          <w:position w:val="0"/>
          <w:sz w:val="36"/>
          <w:szCs w:val="36"/>
          <w:rFonts w:ascii="仿宋_GB2312" w:eastAsia="仿宋_GB2312" w:hAnsi="仿宋_GB2312" w:hint="default"/>
        </w:rPr>
        <w:t>第二部分</w:t>
      </w:r>
    </w:p>
    <w:p>
      <w:pPr>
        <w:bidi w:val="0"/>
        <w:numPr>
          <w:ilvl w:val="0"/>
          <w:numId w:val="0"/>
        </w:numPr>
        <w:jc w:val="center"/>
        <w:shd w:val="clear" w:color="000000" w:fill="FFFFFF"/>
        <w:spacing w:lineRule="auto" w:line="360" w:before="0" w:after="160"/>
        <w:pageBreakBefore w:val="0"/>
        <w:ind w:right="0" w:firstLine="0"/>
        <w:rPr>
          <w:b w:val="1"/>
          <w:color w:val="auto"/>
          <w:position w:val="0"/>
          <w:sz w:val="36"/>
          <w:szCs w:val="36"/>
          <w:rFonts w:ascii="仿宋_GB2312" w:eastAsia="仿宋_GB2312" w:hAnsi="仿宋_GB2312" w:hint="default"/>
        </w:rPr>
        <w:autoSpaceDE w:val="1"/>
        <w:autoSpaceDN w:val="1"/>
      </w:pPr>
      <w:r>
        <w:rPr>
          <w:b w:val="1"/>
          <w:color w:val="auto"/>
          <w:position w:val="0"/>
          <w:sz w:val="36"/>
          <w:szCs w:val="36"/>
          <w:rFonts w:ascii="仿宋_GB2312" w:eastAsia="仿宋_GB2312" w:hAnsi="仿宋_GB2312" w:hint="default"/>
        </w:rPr>
        <w:t>2019年度部门预算情况说明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outlineLvl w:val="0"/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outlineLvl w:val="0"/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一、收入支出预算总体情况说明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焦作市中级人民法院机关后勤服务中心2019年收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入280.74万元，支出总计280.74万元，与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2018年相比，收、支总计各增加21.50万元，增长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8.29%。主要原因：人员工资和社保等增加。  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二、收入预算总体情况说明</w:t>
      </w:r>
    </w:p>
    <w:p>
      <w:pPr>
        <w:bidi w:val="0"/>
        <w:numPr>
          <w:ilvl w:val="0"/>
          <w:numId w:val="0"/>
        </w:numPr>
        <w:jc w:val="both"/>
        <w:shd w:val="clear" w:color="000000" w:fill="FFFFFF"/>
        <w:spacing w:lineRule="auto" w:line="360" w:before="0" w:after="160"/>
        <w:pageBreakBefore w:val="0"/>
        <w:ind w:right="0" w:firstLine="640"/>
        <w:rPr>
          <w:b w:val="0"/>
          <w:color w:val="FF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焦作市中级人民法院机关后勤服务中心</w:t>
      </w:r>
      <w:r>
        <w:rPr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2019年收</w:t>
      </w:r>
      <w:r>
        <w:rPr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入预算280.74万元，其中：当年财力拨款</w:t>
      </w:r>
      <w:r>
        <w:rPr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208.74万元，非税收入72.00万元。</w:t>
      </w:r>
      <w:r>
        <w:rPr>
          <w:b w:val="0"/>
          <w:color w:val="FF0000"/>
          <w:position w:val="0"/>
          <w:sz w:val="32"/>
          <w:szCs w:val="32"/>
          <w:rFonts w:ascii="仿宋_GB2312" w:eastAsia="仿宋_GB2312" w:hAnsi="仿宋_GB2312" w:hint="default"/>
        </w:rPr>
        <w:t xml:space="preserve"> 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outlineLvl w:val="0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三、支出预算总体情况说明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焦作市中级人民法院机关后勤服务中心2019年支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出预算280.74万元，其中：基本支出223.74万元，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占79.70%，含人员经费204.78万元，公用经费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18.96万元；项目支出57.00万元，占20.30%。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四、财政拨款收入支出预算总体情况说明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焦作市中级人民法院机关后勤服务中心2019年一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般公共预算收支预算280.74万元。政府性基金收支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预算0万元，与 2018年相比，一般公共预算收支预算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增加21.50万元，增长8.29%，主要原因：人员工资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和社保增加等；政府性基金收支增加0万元，增长0%，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主要原因：无政府性基金收支。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outlineLvl w:val="0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五、一般公共预算支出预算情况说明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焦作市中级人民法院机关后勤服务中心2019年一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般公共预算支出年初预算为280.74万元。主要用于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以下方面：公共安全支出237.54万元，占84.61%；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教育支出0.72万元，占0.26%；社会保障和就业支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出18.88万元，占6.73%；卫生健康支出12.27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万元，占4.37%；住房保障支出11.33万元，占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4.04%。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outlineLvl w:val="0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六、一般公共预算基本支出预算情况说明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2"/>
        <w:rPr>
          <w:color w:val="FF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焦作市中级人民法院机关后勤服务中心2019年一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般公共预算基本支出223.74万元，其中：</w:t>
      </w:r>
      <w:r>
        <w:rPr>
          <w:spacing w:val="-1"/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人员经费</w:t>
      </w: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204.78万元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，主要包括：基本工资、津贴补贴、奖金、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绩效工资、机关事业单位基本养老保险缴费、职业年金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缴费、医疗保险缴费、其他社会保障缴费、住房公积金、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公务员医疗补助缴费、工会经费；</w:t>
      </w: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公用经费18.96万元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，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主要包括：办公费、印刷费、差旅费、培训费、劳务费、福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利费、其他交通费用、其他商品和服务支出、信息网络及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软件购置更新。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outlineLvl w:val="0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七、政府性基金预算支出预算情况说明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焦作市中级人民法院机关后勤服务中心</w:t>
      </w:r>
      <w:r>
        <w:rPr>
          <w:color w:val="000000" w:themeColor="text1"/>
          <w:position w:val="0"/>
          <w:sz w:val="32"/>
          <w:szCs w:val="32"/>
          <w14:textFill>
            <w14:solidFill>
              <w14:schemeClr w14:val="tx1"/>
            </w14:solidFill>
          </w14:textFill>
          <w:rFonts w:ascii="仿宋_GB2312" w:eastAsia="仿宋_GB2312" w:hAnsi="仿宋_GB2312" w:hint="default"/>
        </w:rPr>
        <w:t>2019年没</w:t>
      </w:r>
      <w:r>
        <w:rPr>
          <w:color w:val="000000" w:themeColor="text1"/>
          <w:position w:val="0"/>
          <w:sz w:val="32"/>
          <w:szCs w:val="32"/>
          <w14:textFill>
            <w14:solidFill>
              <w14:schemeClr w14:val="tx1"/>
            </w14:solidFill>
          </w14:textFill>
          <w:rFonts w:ascii="仿宋_GB2312" w:eastAsia="仿宋_GB2312" w:hAnsi="仿宋_GB2312" w:hint="default"/>
        </w:rPr>
        <w:t xml:space="preserve">有使用政府性基金预算拨款安排的支出。  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八、国有资本经营预算支出预算情况说明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160"/>
        <w:pageBreakBefore w:val="0"/>
        <w:ind w:right="0" w:firstLine="624"/>
        <w:rPr>
          <w:color w:val="000000" w:themeColor="text1"/>
          <w:position w:val="0"/>
          <w:sz w:val="32"/>
          <w:szCs w:val="32"/>
          <w14:textFill>
            <w14:solidFill>
              <w14:schemeClr w14:val="tx1"/>
            </w14:solidFill>
          </w14:textFill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焦作市中级人民法院机关后勤服务中心</w:t>
      </w:r>
      <w:r>
        <w:rPr>
          <w:color w:val="000000" w:themeColor="text1"/>
          <w:position w:val="0"/>
          <w:sz w:val="32"/>
          <w:szCs w:val="32"/>
          <w14:textFill>
            <w14:solidFill>
              <w14:schemeClr w14:val="tx1"/>
            </w14:solidFill>
          </w14:textFill>
          <w:rFonts w:ascii="仿宋_GB2312" w:eastAsia="仿宋_GB2312" w:hAnsi="仿宋_GB2312" w:hint="default"/>
        </w:rPr>
        <w:t>2019年没</w:t>
      </w:r>
      <w:r>
        <w:rPr>
          <w:color w:val="000000" w:themeColor="text1"/>
          <w:position w:val="0"/>
          <w:sz w:val="32"/>
          <w:szCs w:val="32"/>
          <w14:textFill>
            <w14:solidFill>
              <w14:schemeClr w14:val="tx1"/>
            </w14:solidFill>
          </w14:textFill>
          <w:rFonts w:ascii="仿宋_GB2312" w:eastAsia="仿宋_GB2312" w:hAnsi="仿宋_GB2312" w:hint="default"/>
        </w:rPr>
        <w:t>有使用政国有资本经营预算拨款安排的支出。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九、“三公”经费支出预算情况说明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焦作市中级人民法院机关后勤服务中心2019年无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“三公”经费，无公务出国业务，无公车购置，无公车运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行费，无公务接待费，同2018年情况相同。具体支出情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况如下：</w:t>
      </w:r>
    </w:p>
    <w:p>
      <w:pPr>
        <w:numPr>
          <w:ilvl w:val="0"/>
          <w:numId w:val="2"/>
        </w:numPr>
        <w:jc w:val="both"/>
        <w:kinsoku w:val="0"/>
        <w:overflowPunct w:val="0"/>
        <w:spacing w:lineRule="auto" w:line="360" w:before="0" w:after="160"/>
        <w:ind w:left="620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0"/>
        <w:autoSpaceDN w:val="0"/>
      </w:pPr>
      <w:r>
        <w:rPr>
          <w:spacing w:val="-1"/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因公出国（境）费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0万元，与2018年预算相同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，主要原因是：无出国事由。</w:t>
      </w:r>
    </w:p>
    <w:p>
      <w:pPr>
        <w:numPr>
          <w:ilvl w:val="0"/>
          <w:numId w:val="2"/>
        </w:numPr>
        <w:jc w:val="both"/>
        <w:kinsoku w:val="0"/>
        <w:overflowPunct w:val="0"/>
        <w:spacing w:lineRule="auto" w:line="360" w:before="0" w:after="160"/>
        <w:ind w:right="0" w:firstLine="62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0"/>
        <w:autoSpaceDN w:val="0"/>
      </w:pPr>
      <w:r>
        <w:rPr>
          <w:spacing w:val="-1"/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公务用车购置及运行费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0万元。其中：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360" w:before="0" w:after="160"/>
        <w:ind w:left="620" w:right="0" w:firstLine="96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0"/>
        <w:autoSpaceDN w:val="0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公务用车购置0万元，与2018年预算相同，主要原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因是：无公车购置。</w:t>
      </w:r>
    </w:p>
    <w:p>
      <w:pPr>
        <w:numPr>
          <w:ilvl w:val="0"/>
          <w:numId w:val="0"/>
        </w:numPr>
        <w:jc w:val="both"/>
        <w:kinsoku w:val="0"/>
        <w:overflowPunct w:val="0"/>
        <w:spacing w:lineRule="auto" w:line="360" w:before="0" w:after="160"/>
        <w:ind w:left="620" w:right="0" w:firstLine="96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0"/>
        <w:autoSpaceDN w:val="0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公务用车运行维护费 0万元，与2018年预算相同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，主要原因是：单位无公务车辆.</w:t>
      </w:r>
    </w:p>
    <w:p>
      <w:pPr>
        <w:numPr>
          <w:ilvl w:val="0"/>
          <w:numId w:val="0"/>
        </w:numPr>
        <w:jc w:val="both"/>
        <w:spacing w:lineRule="exact" w:line="560" w:before="0" w:after="160"/>
        <w:ind w:left="620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outlineLvl w:val="0"/>
        <w:wordWrap w:val="off"/>
        <w:autoSpaceDE w:val="1"/>
        <w:autoSpaceDN w:val="1"/>
      </w:pPr>
      <w:r>
        <w:rPr>
          <w:spacing w:val="-1"/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(3） 公务接待费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0万元，与2018年预算相同，主要是：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无公务接待。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outlineLvl w:val="0"/>
        <w:snapToGrid w:val="off"/>
        <w:autoSpaceDE w:val="1"/>
        <w:autoSpaceDN w:val="1"/>
      </w:pPr>
      <w:r>
        <w:rPr>
          <w:spacing w:val="-1"/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十、其他重要事项的情况说明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outlineLvl w:val="0"/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（一）机关运行经费支出情况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2"/>
        <w:rPr>
          <w:color w:val="FF0000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焦作市中级人民法院机关后勤服务中心2019年机关运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行经费支出预算18.96万元,主要保障机关机构正常运转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及正常履职需要的办公费、印刷费、差旅费、培训费、劳务费、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福利费、其他交通费用、其他商品和服务支出、信息网络及软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件购置更新，比2018年增加4.81万元，增长33.99%，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主要原因：聘用制人员工资上涨导致劳务费增加。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outlineLvl w:val="0"/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（二）政府采购支出情况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2019年政府采购预算安排0万元，其中：政府采购货物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预算0万元、政府采购工程预算0万元、政府采购服务预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算0万元。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outlineLvl w:val="0"/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（三）关于预算绩效管理工作开展情况说明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780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outlineLvl w:val="0"/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2018年，我单位无绩效考核项目。2019年，我单位纳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入预算绩效管理的支出总额为57万元，支出项目1个，无涉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及预算支出100万元以上项目。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404" w:right="0" w:firstLine="156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（四）国有资产占用情况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2018年期末，单位固定资产总额6.16万元，其中，房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屋建筑物0万元，车辆0.00万元，通用设备3.59万元，专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有设备2.57万元。共有车辆0辆；单价50万元以上通用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设备0台（套），单位价值100万元以上专用设备0台（套）。</w:t>
      </w:r>
    </w:p>
    <w:p>
      <w:pPr>
        <w:bidi w:val="0"/>
        <w:numPr>
          <w:ilvl w:val="0"/>
          <w:numId w:val="0"/>
        </w:numPr>
        <w:jc w:val="left"/>
        <w:spacing w:lineRule="auto" w:line="360" w:before="0" w:after="160"/>
        <w:pageBreakBefore w:val="0"/>
        <w:ind w:right="0" w:firstLine="0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  （五）关于预算部门构成说明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2019年我单位按照市财政预算公开要求，将焦作市中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级人民法院机关后勤服务中心（本级）全部纳入预算公开范围。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pacing w:lineRule="auto" w:line="360" w:before="0" w:after="160"/>
        <w:pageBreakBefore w:val="0"/>
        <w:ind w:right="0" w:firstLine="0"/>
        <w:rPr>
          <w:color w:val="auto"/>
          <w:position w:val="0"/>
          <w:sz w:val="36"/>
          <w:szCs w:val="36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6"/>
          <w:szCs w:val="36"/>
          <w:rFonts w:ascii="仿宋_GB2312" w:eastAsia="仿宋_GB2312" w:hAnsi="仿宋_GB2312" w:hint="default"/>
        </w:rPr>
        <w:t xml:space="preserve">第三部分 名词解释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一、财政拨款收入：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是指市级财政当年拨付的资金。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二、事业收入：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是指事业单位开展专业活动及辅助活动所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取 得的收入，本单位无。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三、其他收入：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是指部门取得的除“财政拨款”、“事业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收入”、“事业单位经营收入”等以外的收入，本单位是银行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账户利息收入。 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四、基本支出：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是指为保障机构正常运转、完成日常工作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任务所必需的开支，其内容包括人员经费和日常公用经费两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部分。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五、项目支出：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是指在基本支出之外，为完成特定的行政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工作任务或事业发展目标所发生的支出。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六、“三公”经费：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是指纳入市级财政预算管理，部门使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用财政拨款安排的因公出国（境）费、公务用车购置及运行费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和公务接待费。其中，因公出国（境）费反映单位公务出国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（境）的住宿费、旅费、伙食补助费、杂费、培训费等支出；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公务用车购置及运行费反映单位公务用车购置费及租用费、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燃料费、维修费、过路过桥费、保险费、安全奖励费用等支出；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公务接待费反映单位按规定开支的各类公务接待（含外宾接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待）支出。本单位无。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七、机关运行经费：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是指为保障行政机构正常运转及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正常履职需要的办公费、水电费、日常维修、物业费、维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修费、差旅费、公务用车运行维护费以及其他费用等支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出。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八、其他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（专业性较强的需向社会做出说明的名词）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 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0"/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   附件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：</w:t>
      </w: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焦作市中级人民法院机关后勤服务中心2019</w:t>
      </w:r>
      <w:r>
        <w:rPr>
          <w:b w:val="1"/>
          <w:color w:val="auto"/>
          <w:position w:val="0"/>
          <w:sz w:val="32"/>
          <w:szCs w:val="32"/>
          <w:rFonts w:ascii="仿宋_GB2312" w:eastAsia="仿宋_GB2312" w:hAnsi="仿宋_GB2312" w:hint="default"/>
        </w:rPr>
        <w:t>年度部门预算表（11张）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624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                          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5424" w:right="0" w:hanging="480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                                   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sectPr>
          <w:pgSz w:w="11906" w:h="16838"/>
          <w:pgMar w:top="2154" w:left="1587" w:bottom="1757" w:right="1474" w:header="850" w:footer="992" w:gutter="0"/>
          <w:pgNumType w:fmt="decimal"/>
          <w:docGrid w:type="linesAndChars" w:linePitch="312" w:charSpace="-1843"/>
        </w:sect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15594" w:type="dxa"/>
        <w:tblInd w:w="-318" w:type="dxa"/>
        <w:tblLook w:val="000000" w:firstRow="0" w:lastRow="0" w:firstColumn="0" w:lastColumn="0" w:noHBand="0" w:noVBand="0"/>
        <w:tblLayout w:type="fixed"/>
      </w:tblPr>
      <w:tblGrid>
        <w:gridCol w:w="3120"/>
        <w:gridCol w:w="850"/>
        <w:gridCol w:w="1418"/>
        <w:gridCol w:w="850"/>
        <w:gridCol w:w="1134"/>
        <w:gridCol w:w="992"/>
        <w:gridCol w:w="817"/>
        <w:gridCol w:w="317"/>
        <w:gridCol w:w="790"/>
        <w:gridCol w:w="1053"/>
        <w:gridCol w:w="709"/>
        <w:gridCol w:w="1134"/>
        <w:gridCol w:w="850"/>
        <w:gridCol w:w="993"/>
        <w:gridCol w:w="567"/>
      </w:tblGrid>
      <w:tr>
        <w:trPr>
          <w:trHeight w:hRule="atleast" w:val="566"/>
          <w:hidden w:val="0"/>
        </w:trPr>
        <w:tc>
          <w:tcPr>
            <w:tcW w:type="dxa" w:w="15594"/>
            <w:vAlign w:val="center"/>
            <w:gridSpan w:val="15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40"/>
                <w:szCs w:val="40"/>
                <w:rFonts w:ascii="宋体" w:eastAsia="宋体" w:hAnsi="宋体" w:hint="default"/>
              </w:rPr>
              <w:autoSpaceDE w:val="1"/>
              <w:autoSpaceDN w:val="1"/>
            </w:pPr>
            <w:bookmarkStart w:id="1" w:name="RANGE!A1:N23"/>
            <w:r>
              <w:rPr>
                <w:b w:val="1"/>
                <w:color w:val="auto"/>
                <w:position w:val="0"/>
                <w:sz w:val="40"/>
                <w:szCs w:val="40"/>
                <w:rFonts w:ascii="宋体" w:eastAsia="宋体" w:hAnsi="宋体" w:hint="default"/>
              </w:rPr>
              <w:t>2019年收支预算总表</w:t>
            </w:r>
            <w:bookmarkEnd w:id="1"/>
          </w:p>
        </w:tc>
      </w:tr>
      <w:tr>
        <w:trPr>
          <w:trHeight w:hRule="atleast" w:val="300"/>
          <w:hidden w:val="0"/>
        </w:trPr>
        <w:tc>
          <w:tcPr>
            <w:tcW w:type="dxa" w:w="9181"/>
            <w:vAlign w:val="center"/>
            <w:gridSpan w:val="7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单位名称：焦作市中级人民法院机关后勤服务中心　</w:t>
            </w:r>
          </w:p>
        </w:tc>
        <w:tc>
          <w:tcPr>
            <w:tcW w:type="dxa" w:w="6413"/>
            <w:vAlign w:val="center"/>
            <w:gridSpan w:val="8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单位：万元</w:t>
            </w:r>
          </w:p>
        </w:tc>
      </w:tr>
      <w:tr>
        <w:trPr>
          <w:trHeight w:hRule="atleast" w:val="360"/>
          <w:hidden w:val="0"/>
        </w:trPr>
        <w:tc>
          <w:tcPr>
            <w:tcW w:type="dxa" w:w="3970"/>
            <w:vAlign w:val="center"/>
            <w:gridSpan w:val="2"/>
            <w:tcBorders>
              <w:bottom w:val="single" w:color="auto" w:sz="4"/>
              <w:left w:val="single" w:color="000000" w:sz="4"/>
              <w:right w:val="single" w:color="000000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 xml:space="preserve">收                  入</w:t>
            </w:r>
          </w:p>
        </w:tc>
        <w:tc>
          <w:tcPr>
            <w:tcW w:type="dxa" w:w="11624"/>
            <w:vAlign w:val="center"/>
            <w:gridSpan w:val="13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 xml:space="preserve">支                 出  </w:t>
            </w:r>
          </w:p>
        </w:tc>
      </w:tr>
      <w:tr>
        <w:trPr>
          <w:trHeight w:hRule="atleast" w:val="405"/>
          <w:hidden w:val="0"/>
        </w:trPr>
        <w:tc>
          <w:tcPr>
            <w:tcW w:type="dxa" w:w="3120"/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 xml:space="preserve">项   目</w:t>
            </w:r>
          </w:p>
        </w:tc>
        <w:tc>
          <w:tcPr>
            <w:tcW w:type="dxa" w:w="850"/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 xml:space="preserve">金   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额</w:t>
            </w:r>
          </w:p>
        </w:tc>
        <w:tc>
          <w:tcPr>
            <w:tcW w:type="dxa" w:w="1418"/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 xml:space="preserve">项    目</w:t>
            </w:r>
          </w:p>
        </w:tc>
        <w:tc>
          <w:tcPr>
            <w:tcW w:type="dxa" w:w="850"/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合计</w:t>
            </w:r>
          </w:p>
        </w:tc>
        <w:tc>
          <w:tcPr>
            <w:tcW w:type="dxa" w:w="3260"/>
            <w:vAlign w:val="center"/>
            <w:gridSpan w:val="4"/>
            <w:tcBorders>
              <w:bottom w:val="single" w:color="auto" w:sz="4"/>
              <w:left w:val="nil" w:color="auto"/>
              <w:right w:val="single" w:color="000000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上年结转结余</w:t>
            </w:r>
          </w:p>
        </w:tc>
        <w:tc>
          <w:tcPr>
            <w:tcW w:type="dxa" w:w="6096"/>
            <w:vAlign w:val="center"/>
            <w:gridSpan w:val="7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本年支出</w:t>
            </w:r>
          </w:p>
        </w:tc>
      </w:tr>
      <w:tr>
        <w:trPr>
          <w:trHeight w:hRule="atleast" w:val="480"/>
          <w:hidden w:val="0"/>
        </w:trPr>
        <w:tc>
          <w:tcPr>
            <w:tcW w:type="dxa" w:w="312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85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1418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85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1134"/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一般公共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预算结转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结余</w:t>
            </w:r>
          </w:p>
        </w:tc>
        <w:tc>
          <w:tcPr>
            <w:tcW w:type="dxa" w:w="992"/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 xml:space="preserve"> 政府性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基金结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转结余</w:t>
            </w:r>
          </w:p>
        </w:tc>
        <w:tc>
          <w:tcPr>
            <w:tcW w:type="dxa" w:w="1134"/>
            <w:vAlign w:val="center"/>
            <w:gridSpan w:val="2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国有资本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经营预算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结余结转</w:t>
            </w:r>
          </w:p>
        </w:tc>
        <w:tc>
          <w:tcPr>
            <w:tcW w:type="dxa" w:w="1843"/>
            <w:vAlign w:val="center"/>
            <w:gridSpan w:val="2"/>
            <w:tcBorders>
              <w:bottom w:val="single" w:color="auto" w:sz="4"/>
              <w:left w:val="nil" w:color="auto"/>
              <w:right w:val="single" w:color="000000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一般公共预算</w:t>
            </w:r>
          </w:p>
        </w:tc>
        <w:tc>
          <w:tcPr>
            <w:tcW w:type="dxa" w:w="1843"/>
            <w:vAlign w:val="center"/>
            <w:gridSpan w:val="2"/>
            <w:tcBorders>
              <w:bottom w:val="single" w:color="auto" w:sz="4"/>
              <w:left w:val="nil" w:color="auto"/>
              <w:right w:val="single" w:color="000000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政府性基金预算</w:t>
            </w:r>
          </w:p>
        </w:tc>
        <w:tc>
          <w:tcPr>
            <w:tcW w:type="dxa" w:w="850"/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专户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管理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的行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政事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业性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收费</w:t>
            </w:r>
          </w:p>
        </w:tc>
        <w:tc>
          <w:tcPr>
            <w:tcW w:type="dxa" w:w="993"/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国有资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本经营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预算收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入</w:t>
            </w:r>
          </w:p>
        </w:tc>
        <w:tc>
          <w:tcPr>
            <w:tcW w:type="dxa" w:w="567"/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其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他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资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金</w:t>
            </w:r>
          </w:p>
        </w:tc>
      </w:tr>
      <w:tr>
        <w:trPr>
          <w:trHeight w:hRule="atleast" w:val="480"/>
          <w:hidden w:val="0"/>
        </w:trPr>
        <w:tc>
          <w:tcPr>
            <w:tcW w:type="dxa" w:w="312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85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1418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85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1134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992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1134"/>
            <w:vAlign w:val="center"/>
            <w:gridSpan w:val="2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79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小计</w:t>
            </w:r>
          </w:p>
        </w:tc>
        <w:tc>
          <w:tcPr>
            <w:tcW w:type="dxa" w:w="10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其中：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财政拨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款</w:t>
            </w:r>
          </w:p>
        </w:tc>
        <w:tc>
          <w:tcPr>
            <w:tcW w:type="dxa" w:w="70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当年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收入</w:t>
            </w:r>
          </w:p>
        </w:tc>
        <w:tc>
          <w:tcPr>
            <w:tcW w:type="dxa" w:w="113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上级专项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转移支付</w:t>
            </w: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（基金）</w:t>
            </w:r>
          </w:p>
        </w:tc>
        <w:tc>
          <w:tcPr>
            <w:tcW w:type="dxa" w:w="850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993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567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</w:tr>
      <w:tr>
        <w:trPr>
          <w:trHeight w:hRule="atleast" w:val="435"/>
          <w:hidden w:val="0"/>
        </w:trPr>
        <w:tc>
          <w:tcPr>
            <w:tcW w:type="dxa" w:w="3120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一、一般公共预算收入</w:t>
            </w:r>
          </w:p>
        </w:tc>
        <w:tc>
          <w:tcPr>
            <w:tcW w:type="dxa" w:w="850"/>
            <w:vAlign w:val="center"/>
            <w:tcBorders>
              <w:bottom w:val="nil" w:color="auto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280.74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一、基本支出</w:t>
            </w:r>
          </w:p>
        </w:tc>
        <w:tc>
          <w:tcPr>
            <w:tcW w:type="dxa" w:w="850"/>
            <w:vAlign w:val="center"/>
            <w:tcBorders>
              <w:bottom w:val="nil" w:color="auto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223.74</w:t>
            </w:r>
          </w:p>
        </w:tc>
        <w:tc>
          <w:tcPr>
            <w:tcW w:type="dxa" w:w="113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9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223.7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4</w:t>
            </w:r>
          </w:p>
        </w:tc>
        <w:tc>
          <w:tcPr>
            <w:tcW w:type="dxa" w:w="10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208.74</w:t>
            </w:r>
          </w:p>
        </w:tc>
        <w:tc>
          <w:tcPr>
            <w:tcW w:type="dxa" w:w="70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20"/>
          <w:hidden w:val="0"/>
        </w:trPr>
        <w:tc>
          <w:tcPr>
            <w:tcW w:type="dxa" w:w="3120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财政拨款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208.74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人员支出</w:t>
            </w:r>
          </w:p>
        </w:tc>
        <w:tc>
          <w:tcPr>
            <w:tcW w:type="dxa" w:w="850"/>
            <w:vAlign w:val="center"/>
            <w:tcBorders>
              <w:bottom w:val="nil" w:color="auto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204.78</w:t>
            </w:r>
          </w:p>
        </w:tc>
        <w:tc>
          <w:tcPr>
            <w:tcW w:type="dxa" w:w="113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9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204.7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8</w:t>
            </w:r>
          </w:p>
        </w:tc>
        <w:tc>
          <w:tcPr>
            <w:tcW w:type="dxa" w:w="10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204.78</w:t>
            </w:r>
          </w:p>
        </w:tc>
        <w:tc>
          <w:tcPr>
            <w:tcW w:type="dxa" w:w="70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20"/>
          <w:hidden w:val="0"/>
        </w:trPr>
        <w:tc>
          <w:tcPr>
            <w:tcW w:type="dxa" w:w="3120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非税收入</w:t>
            </w:r>
          </w:p>
        </w:tc>
        <w:tc>
          <w:tcPr>
            <w:tcW w:type="dxa" w:w="850"/>
            <w:vAlign w:val="center"/>
            <w:tcBorders>
              <w:bottom w:val="nil" w:color="auto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72.00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公用支出</w:t>
            </w:r>
          </w:p>
        </w:tc>
        <w:tc>
          <w:tcPr>
            <w:tcW w:type="dxa" w:w="850"/>
            <w:vAlign w:val="center"/>
            <w:tcBorders>
              <w:bottom w:val="nil" w:color="auto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18.96</w:t>
            </w:r>
          </w:p>
        </w:tc>
        <w:tc>
          <w:tcPr>
            <w:tcW w:type="dxa" w:w="113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9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18.96</w:t>
            </w:r>
          </w:p>
        </w:tc>
        <w:tc>
          <w:tcPr>
            <w:tcW w:type="dxa" w:w="10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3.96</w:t>
            </w:r>
          </w:p>
        </w:tc>
        <w:tc>
          <w:tcPr>
            <w:tcW w:type="dxa" w:w="70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20"/>
          <w:hidden w:val="0"/>
        </w:trPr>
        <w:tc>
          <w:tcPr>
            <w:tcW w:type="dxa" w:w="3120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上级专项转移支付收入</w:t>
            </w:r>
          </w:p>
        </w:tc>
        <w:tc>
          <w:tcPr>
            <w:tcW w:type="dxa" w:w="850"/>
            <w:vAlign w:val="center"/>
            <w:tcBorders>
              <w:bottom w:val="nil" w:color="auto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二、项目支出</w:t>
            </w:r>
          </w:p>
        </w:tc>
        <w:tc>
          <w:tcPr>
            <w:tcW w:type="dxa" w:w="850"/>
            <w:vAlign w:val="center"/>
            <w:tcBorders>
              <w:bottom w:val="nil" w:color="auto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57.00</w:t>
            </w:r>
          </w:p>
        </w:tc>
        <w:tc>
          <w:tcPr>
            <w:tcW w:type="dxa" w:w="113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9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57.00</w:t>
            </w:r>
          </w:p>
        </w:tc>
        <w:tc>
          <w:tcPr>
            <w:tcW w:type="dxa" w:w="10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0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20"/>
          <w:hidden w:val="0"/>
        </w:trPr>
        <w:tc>
          <w:tcPr>
            <w:tcW w:type="dxa" w:w="3120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二、政府性基金预算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部门支出</w:t>
            </w:r>
          </w:p>
        </w:tc>
        <w:tc>
          <w:tcPr>
            <w:tcW w:type="dxa" w:w="850"/>
            <w:vAlign w:val="center"/>
            <w:tcBorders>
              <w:bottom w:val="nil" w:color="auto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57.00</w:t>
            </w:r>
          </w:p>
        </w:tc>
        <w:tc>
          <w:tcPr>
            <w:tcW w:type="dxa" w:w="113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9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57.00</w:t>
            </w:r>
          </w:p>
        </w:tc>
        <w:tc>
          <w:tcPr>
            <w:tcW w:type="dxa" w:w="10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0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20"/>
          <w:hidden w:val="0"/>
        </w:trPr>
        <w:tc>
          <w:tcPr>
            <w:tcW w:type="dxa" w:w="3120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当年收入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专项支出</w:t>
            </w:r>
          </w:p>
        </w:tc>
        <w:tc>
          <w:tcPr>
            <w:tcW w:type="dxa" w:w="850"/>
            <w:vAlign w:val="center"/>
            <w:tcBorders>
              <w:bottom w:val="nil" w:color="auto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9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0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0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20"/>
          <w:hidden w:val="0"/>
        </w:trPr>
        <w:tc>
          <w:tcPr>
            <w:tcW w:type="dxa" w:w="3120"/>
            <w:vAlign w:val="center"/>
            <w:tcBorders>
              <w:bottom w:val="nil" w:color="auto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上级专项转移支付（基金）</w:t>
            </w:r>
          </w:p>
        </w:tc>
        <w:tc>
          <w:tcPr>
            <w:tcW w:type="dxa" w:w="850"/>
            <w:vAlign w:val="center"/>
            <w:tcBorders>
              <w:bottom w:val="nil" w:color="auto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9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0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0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20"/>
          <w:hidden w:val="0"/>
        </w:trPr>
        <w:tc>
          <w:tcPr>
            <w:tcW w:type="dxa" w:w="3120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三、专户管理的行政事业性收费</w:t>
            </w:r>
          </w:p>
        </w:tc>
        <w:tc>
          <w:tcPr>
            <w:tcW w:type="dxa" w:w="850"/>
            <w:vAlign w:val="center"/>
            <w:tcBorders>
              <w:bottom w:val="nil" w:color="auto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9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0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0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39"/>
          <w:hidden w:val="0"/>
        </w:trPr>
        <w:tc>
          <w:tcPr>
            <w:tcW w:type="dxa" w:w="3120"/>
            <w:vAlign w:val="center"/>
            <w:tcBorders>
              <w:bottom w:val="nil" w:color="auto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四、国有资本经营预算收入</w:t>
            </w:r>
          </w:p>
        </w:tc>
        <w:tc>
          <w:tcPr>
            <w:tcW w:type="dxa" w:w="850"/>
            <w:vAlign w:val="center"/>
            <w:tcBorders>
              <w:bottom w:val="nil" w:color="auto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9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0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0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39"/>
          <w:hidden w:val="0"/>
        </w:trPr>
        <w:tc>
          <w:tcPr>
            <w:tcW w:type="dxa" w:w="3120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五、其他资金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418"/>
            <w:vAlign w:val="bottom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9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0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0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39"/>
          <w:hidden w:val="0"/>
        </w:trPr>
        <w:tc>
          <w:tcPr>
            <w:tcW w:type="dxa" w:w="3120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9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0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0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39"/>
          <w:hidden w:val="0"/>
        </w:trPr>
        <w:tc>
          <w:tcPr>
            <w:tcW w:type="dxa" w:w="3120"/>
            <w:vAlign w:val="center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当年收入合计</w:t>
            </w:r>
          </w:p>
        </w:tc>
        <w:tc>
          <w:tcPr>
            <w:tcW w:type="dxa" w:w="850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280.74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2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gridSpan w:val="2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90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053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09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7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39"/>
          <w:hidden w:val="0"/>
        </w:trPr>
        <w:tc>
          <w:tcPr>
            <w:tcW w:type="dxa" w:w="3120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六、上年结转结余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2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9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053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09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7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39"/>
          <w:hidden w:val="0"/>
        </w:trPr>
        <w:tc>
          <w:tcPr>
            <w:tcW w:type="dxa" w:w="3120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一般公共预算结转结余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tcBorders>
              <w:bottom w:val="nil" w:color="auto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9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0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0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39"/>
          <w:hidden w:val="0"/>
        </w:trPr>
        <w:tc>
          <w:tcPr>
            <w:tcW w:type="dxa" w:w="3120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政府性基金结转结余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9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0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0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39"/>
          <w:hidden w:val="0"/>
        </w:trPr>
        <w:tc>
          <w:tcPr>
            <w:tcW w:type="dxa" w:w="3120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国有资本经营预算结转结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余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9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0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0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39"/>
          <w:hidden w:val="0"/>
        </w:trPr>
        <w:tc>
          <w:tcPr>
            <w:tcW w:type="dxa" w:w="3120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收入总计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280.74</w:t>
            </w:r>
          </w:p>
        </w:tc>
        <w:tc>
          <w:tcPr>
            <w:tcW w:type="dxa" w:w="141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支出总计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280.74</w:t>
            </w:r>
          </w:p>
        </w:tc>
        <w:tc>
          <w:tcPr>
            <w:tcW w:type="dxa" w:w="113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9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280.7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4</w:t>
            </w:r>
          </w:p>
        </w:tc>
        <w:tc>
          <w:tcPr>
            <w:tcW w:type="dxa" w:w="10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208.74</w:t>
            </w:r>
          </w:p>
        </w:tc>
        <w:tc>
          <w:tcPr>
            <w:tcW w:type="dxa" w:w="70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</w:tbl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15277" w:type="dxa"/>
        <w:tblLook w:val="000000" w:firstRow="0" w:lastRow="0" w:firstColumn="0" w:lastColumn="0" w:noHBand="0" w:noVBand="0"/>
        <w:tblLayout w:type="fixed"/>
      </w:tblPr>
      <w:tblGrid>
        <w:gridCol w:w="505"/>
        <w:gridCol w:w="410"/>
        <w:gridCol w:w="444"/>
        <w:gridCol w:w="1895"/>
        <w:gridCol w:w="1072"/>
        <w:gridCol w:w="791"/>
        <w:gridCol w:w="791"/>
        <w:gridCol w:w="791"/>
        <w:gridCol w:w="388"/>
        <w:gridCol w:w="694"/>
        <w:gridCol w:w="388"/>
        <w:gridCol w:w="388"/>
        <w:gridCol w:w="388"/>
        <w:gridCol w:w="694"/>
        <w:gridCol w:w="409"/>
        <w:gridCol w:w="412"/>
        <w:gridCol w:w="122"/>
        <w:gridCol w:w="446"/>
        <w:gridCol w:w="571"/>
        <w:gridCol w:w="712"/>
        <w:gridCol w:w="434"/>
        <w:gridCol w:w="577"/>
        <w:gridCol w:w="712"/>
        <w:gridCol w:w="852"/>
        <w:gridCol w:w="391"/>
      </w:tblGrid>
      <w:tr>
        <w:trPr>
          <w:trHeight w:hRule="atleast" w:val="571"/>
          <w:hidden w:val="0"/>
        </w:trPr>
        <w:tc>
          <w:tcPr>
            <w:tcW w:type="dxa" w:w="15277"/>
            <w:vAlign w:val="center"/>
            <w:gridSpan w:val="25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40"/>
                <w:szCs w:val="40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40"/>
                <w:szCs w:val="40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40"/>
                <w:szCs w:val="40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40"/>
                <w:szCs w:val="40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40"/>
                <w:szCs w:val="40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40"/>
                <w:szCs w:val="40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40"/>
                <w:szCs w:val="40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40"/>
                <w:szCs w:val="40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40"/>
                <w:szCs w:val="40"/>
                <w:rFonts w:ascii="宋体" w:eastAsia="宋体" w:hAnsi="宋体" w:hint="default"/>
              </w:rPr>
              <w:autoSpaceDE w:val="1"/>
              <w:autoSpaceDN w:val="1"/>
            </w:pPr>
            <w:bookmarkStart w:id="2" w:name="RANGE!A1:V47"/>
            <w:r>
              <w:rPr>
                <w:b w:val="1"/>
                <w:color w:val="auto"/>
                <w:position w:val="0"/>
                <w:sz w:val="40"/>
                <w:szCs w:val="40"/>
                <w:rFonts w:ascii="宋体" w:eastAsia="宋体" w:hAnsi="宋体" w:hint="default"/>
              </w:rPr>
              <w:t>2019年部门收入总体情况表</w:t>
            </w:r>
            <w:bookmarkEnd w:id="2"/>
          </w:p>
        </w:tc>
      </w:tr>
      <w:tr>
        <w:trPr>
          <w:trHeight w:hRule="atleast" w:val="402"/>
          <w:hidden w:val="0"/>
        </w:trPr>
        <w:tc>
          <w:tcPr>
            <w:tcW w:type="dxa" w:w="10582"/>
            <w:vAlign w:val="center"/>
            <w:gridSpan w:val="17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单位名称：焦作市中级人民法院机关后勤服务中心</w:t>
            </w:r>
          </w:p>
        </w:tc>
        <w:tc>
          <w:tcPr>
            <w:tcW w:type="dxa" w:w="4695"/>
            <w:vAlign w:val="bottom"/>
            <w:gridSpan w:val="8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单位：万元</w:t>
            </w:r>
          </w:p>
        </w:tc>
      </w:tr>
      <w:tr>
        <w:trPr>
          <w:trHeight w:hRule="atleast" w:val="402"/>
          <w:hidden w:val="0"/>
        </w:trPr>
        <w:tc>
          <w:tcPr>
            <w:tcW w:type="dxa" w:w="1359"/>
            <w:vAlign w:val="center"/>
            <w:gridSpan w:val="3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科目代码</w:t>
            </w:r>
          </w:p>
        </w:tc>
        <w:tc>
          <w:tcPr>
            <w:tcW w:type="dxa" w:w="1895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科目名称</w:t>
            </w:r>
          </w:p>
        </w:tc>
        <w:tc>
          <w:tcPr>
            <w:tcW w:type="dxa" w:w="1072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总计</w:t>
            </w:r>
          </w:p>
        </w:tc>
        <w:tc>
          <w:tcPr>
            <w:tcW w:type="dxa" w:w="6702"/>
            <w:vAlign w:val="center"/>
            <w:gridSpan w:val="13"/>
            <w:tcBorders>
              <w:bottom w:val="single" w:color="auto" w:sz="4"/>
              <w:left w:val="nil" w:color="auto"/>
              <w:right w:val="single" w:color="000000" w:sz="4"/>
              <w:top w:val="single" w:color="auto" w:sz="4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一般公共预算支出</w:t>
            </w:r>
          </w:p>
        </w:tc>
        <w:tc>
          <w:tcPr>
            <w:tcW w:type="dxa" w:w="1283"/>
            <w:vAlign w:val="center"/>
            <w:gridSpan w:val="2"/>
            <w:tcBorders>
              <w:bottom w:val="single" w:color="auto" w:sz="4"/>
              <w:left w:val="nil" w:color="auto"/>
              <w:right w:val="single" w:color="000000" w:sz="4"/>
              <w:top w:val="single" w:color="auto" w:sz="4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国有资本经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营预算</w:t>
            </w:r>
          </w:p>
        </w:tc>
        <w:tc>
          <w:tcPr>
            <w:tcW w:type="dxa" w:w="1723"/>
            <w:vAlign w:val="center"/>
            <w:gridSpan w:val="3"/>
            <w:tcBorders>
              <w:bottom w:val="single" w:color="auto" w:sz="4"/>
              <w:left w:val="nil" w:color="auto"/>
              <w:right w:val="single" w:color="000000" w:sz="4"/>
              <w:top w:val="single" w:color="auto" w:sz="4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政府性基金支出</w:t>
            </w:r>
          </w:p>
        </w:tc>
        <w:tc>
          <w:tcPr>
            <w:tcW w:type="dxa" w:w="852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纳入财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政专户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管理的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行政事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业性收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费</w:t>
            </w:r>
          </w:p>
        </w:tc>
        <w:tc>
          <w:tcPr>
            <w:tcW w:type="dxa" w:w="391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其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他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资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金</w:t>
            </w:r>
          </w:p>
        </w:tc>
      </w:tr>
      <w:tr>
        <w:trPr>
          <w:trHeight w:hRule="atleast" w:val="402"/>
          <w:hidden w:val="0"/>
        </w:trPr>
        <w:tc>
          <w:tcPr>
            <w:tcW w:type="dxa" w:w="1359"/>
            <w:vAlign w:val="center"/>
            <w:gridSpan w:val="3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/>
        </w:tc>
        <w:tc>
          <w:tcPr>
            <w:tcW w:type="dxa" w:w="1895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/>
        </w:tc>
        <w:tc>
          <w:tcPr>
            <w:tcW w:type="dxa" w:w="1072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/>
        </w:tc>
        <w:tc>
          <w:tcPr>
            <w:tcW w:type="dxa" w:w="791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合计</w:t>
            </w:r>
          </w:p>
        </w:tc>
        <w:tc>
          <w:tcPr>
            <w:tcW w:type="dxa" w:w="1970"/>
            <w:vAlign w:val="center"/>
            <w:gridSpan w:val="3"/>
            <w:tcBorders>
              <w:bottom w:val="single" w:color="auto" w:sz="4"/>
              <w:left w:val="nil" w:color="auto"/>
              <w:right w:val="single" w:color="000000" w:sz="4"/>
              <w:top w:val="single" w:color="auto" w:sz="4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财政拨款</w:t>
            </w:r>
          </w:p>
        </w:tc>
        <w:tc>
          <w:tcPr>
            <w:tcW w:type="dxa" w:w="2961"/>
            <w:vAlign w:val="center"/>
            <w:gridSpan w:val="6"/>
            <w:tcBorders>
              <w:bottom w:val="single" w:color="auto" w:sz="4"/>
              <w:left w:val="nil" w:color="auto"/>
              <w:right w:val="single" w:color="000000" w:sz="4"/>
              <w:top w:val="single" w:color="auto" w:sz="4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非税收入</w:t>
            </w:r>
          </w:p>
        </w:tc>
        <w:tc>
          <w:tcPr>
            <w:tcW w:type="dxa" w:w="412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上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级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专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项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转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移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支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付</w:t>
            </w:r>
          </w:p>
        </w:tc>
        <w:tc>
          <w:tcPr>
            <w:tcW w:type="dxa" w:w="568"/>
            <w:vAlign w:val="center"/>
            <w:gridSpan w:val="2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上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年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一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般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公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共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预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算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结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余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结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转</w:t>
            </w:r>
          </w:p>
        </w:tc>
        <w:tc>
          <w:tcPr>
            <w:tcW w:type="dxa" w:w="571"/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当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年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收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入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（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国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有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资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金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经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营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）</w:t>
            </w:r>
          </w:p>
        </w:tc>
        <w:tc>
          <w:tcPr>
            <w:tcW w:type="dxa" w:w="712"/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上年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结余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结转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（国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有资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本经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营）</w:t>
            </w:r>
          </w:p>
        </w:tc>
        <w:tc>
          <w:tcPr>
            <w:tcW w:type="dxa" w:w="434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当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年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收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入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（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基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金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）</w:t>
            </w:r>
          </w:p>
        </w:tc>
        <w:tc>
          <w:tcPr>
            <w:tcW w:type="dxa" w:w="577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上年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结余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结转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（基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金）</w:t>
            </w:r>
          </w:p>
        </w:tc>
        <w:tc>
          <w:tcPr>
            <w:tcW w:type="dxa" w:w="712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上级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专项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转移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支付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（基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金）</w:t>
            </w:r>
          </w:p>
        </w:tc>
        <w:tc>
          <w:tcPr>
            <w:tcW w:type="dxa" w:w="852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/>
        </w:tc>
        <w:tc>
          <w:tcPr>
            <w:tcW w:type="dxa" w:w="39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/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类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款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项</w:t>
            </w:r>
          </w:p>
        </w:tc>
        <w:tc>
          <w:tcPr>
            <w:tcW w:type="dxa" w:w="1895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/>
        </w:tc>
        <w:tc>
          <w:tcPr>
            <w:tcW w:type="dxa" w:w="1072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/>
        </w:tc>
        <w:tc>
          <w:tcPr>
            <w:tcW w:type="dxa" w:w="79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791"/>
            <w:vAlign w:val="center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财拨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（小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计）</w:t>
            </w:r>
          </w:p>
        </w:tc>
        <w:tc>
          <w:tcPr>
            <w:tcW w:type="dxa" w:w="791"/>
            <w:vAlign w:val="center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本级财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力</w:t>
            </w:r>
          </w:p>
        </w:tc>
        <w:tc>
          <w:tcPr>
            <w:tcW w:type="dxa" w:w="388"/>
            <w:vAlign w:val="center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一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般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转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移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支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付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非税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（小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计）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专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项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收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入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行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政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事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业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性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收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费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罚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没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收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入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国有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资源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资产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有偿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使用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收入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其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他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非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税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收</w:t>
            </w:r>
            <w:r>
              <w:rPr>
                <w:color w:val="auto"/>
                <w:position w:val="0"/>
                <w:sz w:val="18"/>
                <w:szCs w:val="18"/>
                <w:rFonts w:ascii="宋体" w:eastAsia="宋体" w:hAnsi="宋体" w:hint="default"/>
              </w:rPr>
              <w:t>入</w:t>
            </w:r>
          </w:p>
        </w:tc>
        <w:tc>
          <w:tcPr>
            <w:tcW w:type="dxa" w:w="412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568"/>
            <w:vAlign w:val="center"/>
            <w:gridSpan w:val="2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571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712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434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577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712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 w:fill="FFFFFF"/>
          </w:tcPr>
          <w:p/>
        </w:tc>
        <w:tc>
          <w:tcPr>
            <w:tcW w:type="dxa" w:w="852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/>
        </w:tc>
        <w:tc>
          <w:tcPr>
            <w:tcW w:type="dxa" w:w="39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/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**</w:t>
            </w:r>
          </w:p>
        </w:tc>
        <w:tc>
          <w:tcPr>
            <w:tcW w:type="dxa" w:w="410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*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*</w:t>
            </w:r>
          </w:p>
        </w:tc>
        <w:tc>
          <w:tcPr>
            <w:tcW w:type="dxa" w:w="444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**</w:t>
            </w:r>
          </w:p>
        </w:tc>
        <w:tc>
          <w:tcPr>
            <w:tcW w:type="dxa" w:w="1895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**</w:t>
            </w:r>
          </w:p>
        </w:tc>
        <w:tc>
          <w:tcPr>
            <w:tcW w:type="dxa" w:w="1072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</w:t>
            </w:r>
          </w:p>
        </w:tc>
        <w:tc>
          <w:tcPr>
            <w:tcW w:type="dxa" w:w="791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</w:t>
            </w:r>
          </w:p>
        </w:tc>
        <w:tc>
          <w:tcPr>
            <w:tcW w:type="dxa" w:w="791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3</w:t>
            </w:r>
          </w:p>
        </w:tc>
        <w:tc>
          <w:tcPr>
            <w:tcW w:type="dxa" w:w="791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4</w:t>
            </w:r>
          </w:p>
        </w:tc>
        <w:tc>
          <w:tcPr>
            <w:tcW w:type="dxa" w:w="388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694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6</w:t>
            </w:r>
          </w:p>
        </w:tc>
        <w:tc>
          <w:tcPr>
            <w:tcW w:type="dxa" w:w="388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7</w:t>
            </w:r>
          </w:p>
        </w:tc>
        <w:tc>
          <w:tcPr>
            <w:tcW w:type="dxa" w:w="388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8</w:t>
            </w:r>
          </w:p>
        </w:tc>
        <w:tc>
          <w:tcPr>
            <w:tcW w:type="dxa" w:w="388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9</w:t>
            </w:r>
          </w:p>
        </w:tc>
        <w:tc>
          <w:tcPr>
            <w:tcW w:type="dxa" w:w="694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10</w:t>
            </w:r>
          </w:p>
        </w:tc>
        <w:tc>
          <w:tcPr>
            <w:tcW w:type="dxa" w:w="409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</w:t>
            </w:r>
          </w:p>
        </w:tc>
        <w:tc>
          <w:tcPr>
            <w:tcW w:type="dxa" w:w="412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13</w:t>
            </w:r>
          </w:p>
        </w:tc>
        <w:tc>
          <w:tcPr>
            <w:tcW w:type="dxa" w:w="571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14</w:t>
            </w:r>
          </w:p>
        </w:tc>
        <w:tc>
          <w:tcPr>
            <w:tcW w:type="dxa" w:w="712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15</w:t>
            </w:r>
          </w:p>
        </w:tc>
        <w:tc>
          <w:tcPr>
            <w:tcW w:type="dxa" w:w="434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16</w:t>
            </w:r>
          </w:p>
        </w:tc>
        <w:tc>
          <w:tcPr>
            <w:tcW w:type="dxa" w:w="577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17</w:t>
            </w:r>
          </w:p>
        </w:tc>
        <w:tc>
          <w:tcPr>
            <w:tcW w:type="dxa" w:w="712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18</w:t>
            </w:r>
          </w:p>
        </w:tc>
        <w:tc>
          <w:tcPr>
            <w:tcW w:type="dxa" w:w="852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19</w:t>
            </w:r>
          </w:p>
        </w:tc>
        <w:tc>
          <w:tcPr>
            <w:tcW w:type="dxa" w:w="391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合计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280.74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280.7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4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208.7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4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208.7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4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72.0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72.0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 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公共安全支出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237.54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237.5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4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165.5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4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165.5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4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72.0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72.0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 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法院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237.54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237.5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4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165.5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4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165.5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4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72.0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72.0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 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机关服务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57.00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57.00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57.0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57.0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 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4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03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后勤服务保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障和机关餐厅伙食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补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57.00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57.00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57.0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57.0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 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事业运行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180.54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180.5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4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165.5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4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165.5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4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15.0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15.0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 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4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事业人员及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事业技术工人年基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本工资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48.10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48.10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48.10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48.10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4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国家保留津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贴(事业)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0.86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0.86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0.86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0.86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4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70%基础性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绩效工资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24.47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24.47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24.47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24.47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4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30%奖励性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绩效工资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14.50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14.50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14.50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14.50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4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失业保险金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0.66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0.66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0.66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0.66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4</w:t>
            </w:r>
          </w:p>
        </w:tc>
        <w:tc>
          <w:tcPr>
            <w:tcW w:type="dxa" w:w="410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44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</w:p>
        </w:tc>
        <w:tc>
          <w:tcPr>
            <w:tcW w:type="dxa" w:w="1895"/>
            <w:vAlign w:val="center"/>
            <w:tcBorders>
              <w:bottom w:val="single" w:color="000000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工伤保险费</w:t>
            </w:r>
          </w:p>
        </w:tc>
        <w:tc>
          <w:tcPr>
            <w:tcW w:type="dxa" w:w="1072"/>
            <w:vAlign w:val="center"/>
            <w:tcBorders>
              <w:bottom w:val="single" w:color="000000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0.19 </w:t>
            </w:r>
          </w:p>
        </w:tc>
        <w:tc>
          <w:tcPr>
            <w:tcW w:type="dxa" w:w="791"/>
            <w:vAlign w:val="center"/>
            <w:tcBorders>
              <w:bottom w:val="single" w:color="000000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0.19 </w:t>
            </w:r>
          </w:p>
        </w:tc>
        <w:tc>
          <w:tcPr>
            <w:tcW w:type="dxa" w:w="791"/>
            <w:vAlign w:val="center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0.19 </w:t>
            </w:r>
          </w:p>
        </w:tc>
        <w:tc>
          <w:tcPr>
            <w:tcW w:type="dxa" w:w="791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0.19 </w:t>
            </w:r>
          </w:p>
        </w:tc>
        <w:tc>
          <w:tcPr>
            <w:tcW w:type="dxa" w:w="388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000000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000000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000000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000000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09"/>
            <w:vAlign w:val="center"/>
            <w:tcBorders>
              <w:bottom w:val="single" w:color="000000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000000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000000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000000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000000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000000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000000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000000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000000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4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生育保险费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0.47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0.47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0.47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0.47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4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在职人员文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明奖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21.60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21.60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21.60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21.60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4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在职人员采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暖补贴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2.79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2.79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2.79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2.79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4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年度目标考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核奖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11.94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11.94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11.94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11.94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4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月度目标考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核奖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27.65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27.65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27.65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27.65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4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其他特岗津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贴补贴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1.15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1.15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1.15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1.15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4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工会经费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1.89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1.89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1.89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1.89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4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福利费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2.36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2.36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2.36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2.36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4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在职人员物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业服务补贴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3.67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3.67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3.67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3.67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4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在职人员定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额公用经费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18.24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18.24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3.24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3.24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15.0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15.0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 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教育支出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进修及培训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培训支出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8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03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在职人员公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用经费（培训费）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0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44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895"/>
            <w:vAlign w:val="center"/>
            <w:tcBorders>
              <w:bottom w:val="single" w:color="000000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社会保障和就业支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出</w:t>
            </w:r>
          </w:p>
        </w:tc>
        <w:tc>
          <w:tcPr>
            <w:tcW w:type="dxa" w:w="1072"/>
            <w:vAlign w:val="center"/>
            <w:tcBorders>
              <w:bottom w:val="single" w:color="000000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791"/>
            <w:vAlign w:val="center"/>
            <w:tcBorders>
              <w:bottom w:val="single" w:color="000000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791"/>
            <w:vAlign w:val="center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791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388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000000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000000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000000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000000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09"/>
            <w:vAlign w:val="center"/>
            <w:tcBorders>
              <w:bottom w:val="single" w:color="000000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000000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000000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000000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000000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000000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000000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000000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000000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行政事业单位离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退休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机关事业单位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基本养老保险缴费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支出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8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05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养老保险金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卫生健康支出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12.27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12.27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12.27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12.27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行政事业单位医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疗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12.27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12.27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12.27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12.27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事业单位医疗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6.61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6.61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6.61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6.61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21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02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医疗保险金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6.61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6.61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6.61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6.61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公务员医疗补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助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5.66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5.66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5.66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5.66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21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03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公务员医疗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补助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5.66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5.66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5.66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5.66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住房保障支出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住房改革支出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住房公积金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0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22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</w:t>
            </w:r>
          </w:p>
        </w:tc>
        <w:tc>
          <w:tcPr>
            <w:tcW w:type="dxa" w:w="41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</w:t>
            </w:r>
          </w:p>
        </w:tc>
        <w:tc>
          <w:tcPr>
            <w:tcW w:type="dxa" w:w="44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01</w:t>
            </w:r>
          </w:p>
        </w:tc>
        <w:tc>
          <w:tcPr>
            <w:tcW w:type="dxa" w:w="1895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住房公积金</w:t>
            </w:r>
          </w:p>
        </w:tc>
        <w:tc>
          <w:tcPr>
            <w:tcW w:type="dxa" w:w="107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79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88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09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68"/>
            <w:vAlign w:val="center"/>
            <w:gridSpan w:val="2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1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77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9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</w:tbl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14786" w:type="dxa"/>
        <w:tblLook w:val="000000" w:firstRow="0" w:lastRow="0" w:firstColumn="0" w:lastColumn="0" w:noHBand="0" w:noVBand="0"/>
        <w:tblLayout w:type="fixed"/>
      </w:tblPr>
      <w:tblGrid>
        <w:gridCol w:w="807"/>
        <w:gridCol w:w="695"/>
        <w:gridCol w:w="695"/>
        <w:gridCol w:w="4468"/>
        <w:gridCol w:w="917"/>
        <w:gridCol w:w="920"/>
        <w:gridCol w:w="917"/>
        <w:gridCol w:w="1139"/>
        <w:gridCol w:w="1141"/>
        <w:gridCol w:w="807"/>
        <w:gridCol w:w="1139"/>
        <w:gridCol w:w="1141"/>
      </w:tblGrid>
      <w:tr>
        <w:trPr>
          <w:trHeight w:hRule="atleast" w:val="560"/>
          <w:hidden w:val="0"/>
        </w:trPr>
        <w:tc>
          <w:tcPr>
            <w:tcW w:type="dxa" w:w="14786"/>
            <w:vAlign w:val="center"/>
            <w:gridSpan w:val="12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40"/>
                <w:szCs w:val="40"/>
                <w:rFonts w:ascii="宋体" w:eastAsia="宋体" w:hAnsi="宋体" w:hint="default"/>
              </w:rPr>
              <w:autoSpaceDE w:val="1"/>
              <w:autoSpaceDN w:val="1"/>
            </w:pPr>
            <w:bookmarkStart w:id="3" w:name="RANGE!A1:L46"/>
            <w:r>
              <w:rPr>
                <w:b w:val="1"/>
                <w:color w:val="auto"/>
                <w:position w:val="0"/>
                <w:sz w:val="40"/>
                <w:szCs w:val="40"/>
                <w:rFonts w:ascii="宋体" w:eastAsia="宋体" w:hAnsi="宋体" w:hint="default"/>
              </w:rPr>
              <w:t>2019年部门支出总体情况表</w:t>
            </w:r>
            <w:bookmarkEnd w:id="3"/>
          </w:p>
        </w:tc>
      </w:tr>
      <w:tr>
        <w:trPr>
          <w:trHeight w:hRule="atleast" w:val="402"/>
          <w:hidden w:val="0"/>
        </w:trPr>
        <w:tc>
          <w:tcPr>
            <w:tcW w:type="dxa" w:w="8502"/>
            <w:vAlign w:val="center"/>
            <w:gridSpan w:val="6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单位名称：焦作市中级人民法院机关后勤服务中心</w:t>
            </w:r>
          </w:p>
        </w:tc>
        <w:tc>
          <w:tcPr>
            <w:tcW w:type="dxa" w:w="6284"/>
            <w:vAlign w:val="center"/>
            <w:gridSpan w:val="6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160"/>
              <w:pageBreakBefore w:val="0"/>
              <w:ind w:right="764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                        单位：万元</w:t>
            </w:r>
          </w:p>
        </w:tc>
      </w:tr>
      <w:tr>
        <w:trPr>
          <w:trHeight w:hRule="atleast" w:val="330"/>
          <w:hidden w:val="0"/>
        </w:trPr>
        <w:tc>
          <w:tcPr>
            <w:tcW w:type="dxa" w:w="2197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000000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科目编码</w:t>
            </w:r>
          </w:p>
        </w:tc>
        <w:tc>
          <w:tcPr>
            <w:tcW w:type="dxa" w:w="4468"/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科目名称</w:t>
            </w:r>
          </w:p>
        </w:tc>
        <w:tc>
          <w:tcPr>
            <w:tcW w:type="dxa" w:w="917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总计</w:t>
            </w:r>
          </w:p>
        </w:tc>
        <w:tc>
          <w:tcPr>
            <w:tcW w:type="dxa" w:w="7204"/>
            <w:vAlign w:val="center"/>
            <w:gridSpan w:val="7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2019年</w:t>
            </w:r>
          </w:p>
        </w:tc>
      </w:tr>
      <w:tr>
        <w:trPr>
          <w:trHeight w:hRule="atleast" w:val="285"/>
          <w:hidden w:val="0"/>
        </w:trPr>
        <w:tc>
          <w:tcPr>
            <w:tcW w:type="dxa" w:w="807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类</w:t>
            </w:r>
          </w:p>
        </w:tc>
        <w:tc>
          <w:tcPr>
            <w:tcW w:type="dxa" w:w="695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款</w:t>
            </w:r>
          </w:p>
        </w:tc>
        <w:tc>
          <w:tcPr>
            <w:tcW w:type="dxa" w:w="695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项</w:t>
            </w:r>
          </w:p>
        </w:tc>
        <w:tc>
          <w:tcPr>
            <w:tcW w:type="dxa" w:w="4468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/>
        </w:tc>
        <w:tc>
          <w:tcPr>
            <w:tcW w:type="dxa" w:w="917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/>
        </w:tc>
        <w:tc>
          <w:tcPr>
            <w:tcW w:type="dxa" w:w="920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合计</w:t>
            </w:r>
          </w:p>
        </w:tc>
        <w:tc>
          <w:tcPr>
            <w:tcW w:type="dxa" w:w="3197"/>
            <w:vAlign w:val="center"/>
            <w:gridSpan w:val="3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基本支出</w:t>
            </w:r>
          </w:p>
        </w:tc>
        <w:tc>
          <w:tcPr>
            <w:tcW w:type="dxa" w:w="3087"/>
            <w:vAlign w:val="center"/>
            <w:gridSpan w:val="3"/>
            <w:tcBorders>
              <w:bottom w:val="single" w:color="auto" w:sz="4"/>
              <w:left w:val="nil" w:color="auto"/>
              <w:right w:val="single" w:color="000000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项目支出</w:t>
            </w:r>
          </w:p>
        </w:tc>
      </w:tr>
      <w:tr>
        <w:trPr>
          <w:trHeight w:hRule="atleast" w:val="570"/>
          <w:hidden w:val="0"/>
        </w:trPr>
        <w:tc>
          <w:tcPr>
            <w:tcW w:type="dxa" w:w="807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695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695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4468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/>
        </w:tc>
        <w:tc>
          <w:tcPr>
            <w:tcW w:type="dxa" w:w="917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/>
        </w:tc>
        <w:tc>
          <w:tcPr>
            <w:tcW w:type="dxa" w:w="92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小计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人员支出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公用支出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小计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部门支出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专项支出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**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**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**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**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3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4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6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7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8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合计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280.74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280.74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223.74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204.78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18.96 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57.00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57.00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204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公共安全支出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237.54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237.54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180.54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162.30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18.24 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57.00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57.00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05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法院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237.54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237.54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180.54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162.30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18.24 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57.00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57.00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03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机关服务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57.00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57.00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57.00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57.00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03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后勤服务保障和机关餐厅伙食补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57.00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57.00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57.00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57.00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事业运行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180.54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180.54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180.54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162.30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18.24 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50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失业保险金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0.66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0.66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0.66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0.66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50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工会经费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1.89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1.89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1.89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1.89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50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在职人员物业服务补贴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3.67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3.67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3.67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3.67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50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工伤保险费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0.19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0.19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0.19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0.19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50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在职人员文明奖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21.60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21.60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21.60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21.60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50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70%基础性绩效工资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24.47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24.47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24.47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24.47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50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在职人员采暖补贴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2.79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2.79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2.79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2.79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50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生育保险费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0.47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0.47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0.47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0.47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50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年度目标考核奖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11.94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11.94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11.94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11.94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50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事业人员及事业技术工人年基本工资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48.10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48.10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48.10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48.10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50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30%奖励性绩效工资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14.50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14.50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14.50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14.50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50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福利费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2.36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2.36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2.36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2.36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50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其他特岗津贴补贴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1.15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1.15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1.15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1.15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50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国家保留津贴(事业)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0.86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0.86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0.86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0.86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50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在职人员定额公用经费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18.24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18.24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18.24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18.24 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50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月度目标考核奖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27.65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27.65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27.65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27.65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205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教育支出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08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进修及培训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03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培训支出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205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08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03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在职人员公用经费（培训费）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208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社会保障和就业支出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05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行政事业单位离退休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05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机关事业单位基本养老保险缴费支出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208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养老保险金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210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卫生健康支出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12.27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12.27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12.27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12.27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11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行政事业单位医疗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12.27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12.27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12.27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12.27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02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事业单位医疗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6.61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6.61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6.61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6.61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210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11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02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医疗保险金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6.61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6.61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6.61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6.61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03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公务员医疗补助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5.66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5.66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5.66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5.66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210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11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03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公务员医疗补助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5.66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5.66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5.66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5.66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221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住房保障支出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02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住房改革支出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01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住房公积金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80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221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02</w:t>
            </w:r>
          </w:p>
        </w:tc>
        <w:tc>
          <w:tcPr>
            <w:tcW w:type="dxa" w:w="69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01</w:t>
            </w:r>
          </w:p>
        </w:tc>
        <w:tc>
          <w:tcPr>
            <w:tcW w:type="dxa" w:w="44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住房公积金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92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9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3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4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</w:tbl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15135" w:type="dxa"/>
        <w:tblLook w:val="000000" w:firstRow="0" w:lastRow="0" w:firstColumn="0" w:lastColumn="0" w:noHBand="0" w:noVBand="0"/>
        <w:tblLayout w:type="fixed"/>
      </w:tblPr>
      <w:tblGrid>
        <w:gridCol w:w="1255"/>
        <w:gridCol w:w="1253"/>
        <w:gridCol w:w="860"/>
        <w:gridCol w:w="2836"/>
        <w:gridCol w:w="848"/>
        <w:gridCol w:w="723"/>
        <w:gridCol w:w="127"/>
        <w:gridCol w:w="711"/>
        <w:gridCol w:w="621"/>
        <w:gridCol w:w="230"/>
        <w:gridCol w:w="7"/>
        <w:gridCol w:w="845"/>
        <w:gridCol w:w="324"/>
        <w:gridCol w:w="539"/>
        <w:gridCol w:w="717"/>
        <w:gridCol w:w="902"/>
        <w:gridCol w:w="91"/>
        <w:gridCol w:w="145"/>
        <w:gridCol w:w="702"/>
        <w:gridCol w:w="854"/>
        <w:gridCol w:w="545"/>
      </w:tblGrid>
      <w:tr>
        <w:trPr>
          <w:trHeight w:hRule="atleast" w:val="560"/>
          <w:hidden w:val="0"/>
        </w:trPr>
        <w:tc>
          <w:tcPr>
            <w:tcW w:type="dxa" w:w="15135"/>
            <w:vAlign w:val="center"/>
            <w:gridSpan w:val="21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40"/>
                <w:szCs w:val="40"/>
                <w:rFonts w:ascii="宋体" w:eastAsia="宋体" w:hAnsi="宋体" w:hint="default"/>
              </w:rPr>
              <w:autoSpaceDE w:val="1"/>
              <w:autoSpaceDN w:val="1"/>
            </w:pPr>
            <w:bookmarkStart w:id="4" w:name="RANGE!A1:O36"/>
            <w:r>
              <w:rPr>
                <w:b w:val="1"/>
                <w:color w:val="auto"/>
                <w:position w:val="0"/>
                <w:sz w:val="40"/>
                <w:szCs w:val="40"/>
                <w:rFonts w:ascii="宋体" w:eastAsia="宋体" w:hAnsi="宋体" w:hint="default"/>
              </w:rPr>
              <w:t>2019年财政拨款收支总体情况表</w:t>
            </w:r>
            <w:bookmarkEnd w:id="4"/>
          </w:p>
        </w:tc>
      </w:tr>
      <w:tr>
        <w:trPr>
          <w:trHeight w:hRule="atleast" w:val="402"/>
          <w:hidden w:val="0"/>
        </w:trPr>
        <w:tc>
          <w:tcPr>
            <w:tcW w:type="dxa" w:w="9234"/>
            <w:vAlign w:val="center"/>
            <w:gridSpan w:val="9"/>
            <w:tcBorders>
              <w:bottom w:val="single" w:color="000000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单位名称：焦作市中级人民法院机关后勤服务中心</w:t>
            </w:r>
          </w:p>
        </w:tc>
        <w:tc>
          <w:tcPr>
            <w:tcW w:type="dxa" w:w="5901"/>
            <w:vAlign w:val="center"/>
            <w:gridSpan w:val="12"/>
            <w:tcBorders>
              <w:bottom w:val="single" w:color="000000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                                 单位：万元</w:t>
            </w:r>
          </w:p>
        </w:tc>
      </w:tr>
      <w:tr>
        <w:trPr>
          <w:trHeight w:hRule="atleast" w:val="327"/>
          <w:hidden w:val="0"/>
        </w:trPr>
        <w:tc>
          <w:tcPr>
            <w:tcW w:type="dxa" w:w="3368"/>
            <w:vAlign w:val="center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收                             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入</w:t>
            </w:r>
          </w:p>
        </w:tc>
        <w:tc>
          <w:tcPr>
            <w:tcW w:type="dxa" w:w="2836"/>
            <w:vAlign w:val="center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支                        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出</w:t>
            </w:r>
          </w:p>
        </w:tc>
        <w:tc>
          <w:tcPr>
            <w:tcW w:type="dxa" w:w="848"/>
            <w:vAlign w:val="center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23"/>
            <w:vAlign w:val="center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459"/>
            <w:vAlign w:val="center"/>
            <w:gridSpan w:val="3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37"/>
            <w:vAlign w:val="center"/>
            <w:gridSpan w:val="2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619"/>
            <w:vAlign w:val="center"/>
            <w:gridSpan w:val="2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36"/>
            <w:vAlign w:val="center"/>
            <w:gridSpan w:val="2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02"/>
            <w:vAlign w:val="center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4"/>
            <w:vAlign w:val="center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45"/>
            <w:vAlign w:val="bottom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390"/>
          <w:hidden w:val="0"/>
        </w:trPr>
        <w:tc>
          <w:tcPr>
            <w:tcW w:type="dxa" w:w="2508"/>
            <w:vAlign w:val="center"/>
            <w:gridSpan w:val="2"/>
            <w:vMerge w:val="restart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项                    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目</w:t>
            </w:r>
          </w:p>
        </w:tc>
        <w:tc>
          <w:tcPr>
            <w:tcW w:type="dxa" w:w="860"/>
            <w:vAlign w:val="center"/>
            <w:vMerge w:val="restart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金　额</w:t>
            </w:r>
          </w:p>
        </w:tc>
        <w:tc>
          <w:tcPr>
            <w:tcW w:type="dxa" w:w="2836"/>
            <w:vAlign w:val="center"/>
            <w:vMerge w:val="restart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项            目</w:t>
            </w:r>
          </w:p>
        </w:tc>
        <w:tc>
          <w:tcPr>
            <w:tcW w:type="dxa" w:w="848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合计</w:t>
            </w:r>
          </w:p>
        </w:tc>
        <w:tc>
          <w:tcPr>
            <w:tcW w:type="dxa" w:w="2412"/>
            <w:vAlign w:val="center"/>
            <w:gridSpan w:val="5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上年结转结余</w:t>
            </w:r>
          </w:p>
        </w:tc>
        <w:tc>
          <w:tcPr>
            <w:tcW w:type="dxa" w:w="1176"/>
            <w:vAlign w:val="center"/>
            <w:gridSpan w:val="3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本年支出</w:t>
            </w:r>
          </w:p>
        </w:tc>
        <w:tc>
          <w:tcPr>
            <w:tcW w:type="dxa" w:w="539"/>
            <w:vAlign w:val="center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619"/>
            <w:vAlign w:val="center"/>
            <w:gridSpan w:val="2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36"/>
            <w:vAlign w:val="center"/>
            <w:gridSpan w:val="2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02"/>
            <w:vAlign w:val="center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4"/>
            <w:vAlign w:val="center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4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390"/>
          <w:hidden w:val="0"/>
        </w:trPr>
        <w:tc>
          <w:tcPr>
            <w:tcW w:type="dxa" w:w="2508"/>
            <w:vAlign w:val="center"/>
            <w:gridSpan w:val="2"/>
            <w:vMerge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860"/>
            <w:vAlign w:val="center"/>
            <w:vMerge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/>
        </w:tc>
        <w:tc>
          <w:tcPr>
            <w:tcW w:type="dxa" w:w="2836"/>
            <w:vAlign w:val="center"/>
            <w:vMerge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/>
        </w:tc>
        <w:tc>
          <w:tcPr>
            <w:tcW w:type="dxa" w:w="84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850"/>
            <w:vAlign w:val="center"/>
            <w:gridSpan w:val="2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一般公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共预算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结转结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余</w:t>
            </w:r>
          </w:p>
        </w:tc>
        <w:tc>
          <w:tcPr>
            <w:tcW w:type="dxa" w:w="711"/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基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金结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转结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余</w:t>
            </w:r>
          </w:p>
        </w:tc>
        <w:tc>
          <w:tcPr>
            <w:tcW w:type="dxa" w:w="851"/>
            <w:vAlign w:val="center"/>
            <w:gridSpan w:val="2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国有资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本经营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结余结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转</w:t>
            </w:r>
          </w:p>
        </w:tc>
        <w:tc>
          <w:tcPr>
            <w:tcW w:type="dxa" w:w="1715"/>
            <w:vAlign w:val="center"/>
            <w:gridSpan w:val="4"/>
            <w:tcBorders>
              <w:bottom w:val="single" w:color="auto" w:sz="4"/>
              <w:left w:val="nil" w:color="auto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一般公共预算</w:t>
            </w:r>
          </w:p>
        </w:tc>
        <w:tc>
          <w:tcPr>
            <w:tcW w:type="dxa" w:w="1710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000000" w:sz="4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政府性基金</w:t>
            </w:r>
          </w:p>
        </w:tc>
        <w:tc>
          <w:tcPr>
            <w:tcW w:type="dxa" w:w="847"/>
            <w:vAlign w:val="center"/>
            <w:gridSpan w:val="2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single" w:color="000000" w:sz="4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专户管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理的行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政事业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性收费</w:t>
            </w:r>
          </w:p>
        </w:tc>
        <w:tc>
          <w:tcPr>
            <w:tcW w:type="dxa" w:w="854"/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single" w:color="000000" w:sz="4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国有资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本经营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预算收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入</w:t>
            </w:r>
          </w:p>
        </w:tc>
        <w:tc>
          <w:tcPr>
            <w:tcW w:type="dxa" w:w="545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其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他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资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金</w:t>
            </w:r>
          </w:p>
        </w:tc>
      </w:tr>
      <w:tr>
        <w:trPr>
          <w:trHeight w:hRule="atleast" w:val="390"/>
          <w:hidden w:val="0"/>
        </w:trPr>
        <w:tc>
          <w:tcPr>
            <w:tcW w:type="dxa" w:w="2508"/>
            <w:vAlign w:val="center"/>
            <w:gridSpan w:val="2"/>
            <w:vMerge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860"/>
            <w:vAlign w:val="center"/>
            <w:vMerge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/>
        </w:tc>
        <w:tc>
          <w:tcPr>
            <w:tcW w:type="dxa" w:w="2836"/>
            <w:vAlign w:val="center"/>
            <w:vMerge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/>
        </w:tc>
        <w:tc>
          <w:tcPr>
            <w:tcW w:type="dxa" w:w="84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850"/>
            <w:vAlign w:val="center"/>
            <w:gridSpan w:val="2"/>
            <w:vMerge/>
            <w:tcBorders>
              <w:bottom w:val="single" w:color="000000" w:sz="4"/>
              <w:left w:val="single" w:color="auto" w:sz="4"/>
              <w:right w:val="single" w:color="auto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711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851"/>
            <w:vAlign w:val="center"/>
            <w:gridSpan w:val="2"/>
            <w:vMerge/>
            <w:tcBorders>
              <w:bottom w:val="single" w:color="000000" w:sz="4"/>
              <w:left w:val="single" w:color="auto" w:sz="4"/>
              <w:right w:val="single" w:color="auto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852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小计</w:t>
            </w:r>
          </w:p>
        </w:tc>
        <w:tc>
          <w:tcPr>
            <w:tcW w:type="dxa" w:w="86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其中：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财政拨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款</w:t>
            </w:r>
          </w:p>
        </w:tc>
        <w:tc>
          <w:tcPr>
            <w:tcW w:type="dxa" w:w="7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当年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收入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（基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金）</w:t>
            </w:r>
          </w:p>
        </w:tc>
        <w:tc>
          <w:tcPr>
            <w:tcW w:type="dxa" w:w="99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 w:fill="FFFFFF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上级专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项转移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支付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（基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金）</w:t>
            </w:r>
          </w:p>
        </w:tc>
        <w:tc>
          <w:tcPr>
            <w:tcW w:type="dxa" w:w="847"/>
            <w:vAlign w:val="center"/>
            <w:gridSpan w:val="2"/>
            <w:vMerge/>
            <w:tcBorders>
              <w:bottom w:val="single" w:color="000000" w:sz="4"/>
              <w:left w:val="single" w:color="auto" w:sz="4"/>
              <w:right w:val="single" w:color="auto" w:sz="4"/>
              <w:top w:val="single" w:color="000000" w:sz="4"/>
            </w:tcBorders>
            <w:shd w:val="clear" w:color="000000" w:fill="FFFFFF"/>
          </w:tcPr>
          <w:p/>
        </w:tc>
        <w:tc>
          <w:tcPr>
            <w:tcW w:type="dxa" w:w="854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single" w:color="000000" w:sz="4"/>
            </w:tcBorders>
            <w:shd w:val="clear" w:color="000000" w:fill="FFFFFF"/>
          </w:tcPr>
          <w:p/>
        </w:tc>
        <w:tc>
          <w:tcPr>
            <w:tcW w:type="dxa" w:w="545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000000" w:sz="4"/>
            </w:tcBorders>
            <w:shd w:val="clear" w:color="000000"/>
          </w:tcPr>
          <w:p/>
        </w:tc>
      </w:tr>
      <w:tr>
        <w:trPr>
          <w:trHeight w:hRule="atleast" w:val="342"/>
          <w:hidden w:val="0"/>
        </w:trPr>
        <w:tc>
          <w:tcPr>
            <w:tcW w:type="dxa" w:w="2508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000000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一、一般公共预算收入</w:t>
            </w:r>
          </w:p>
        </w:tc>
        <w:tc>
          <w:tcPr>
            <w:tcW w:type="dxa" w:w="860"/>
            <w:vAlign w:val="center"/>
            <w:tcBorders>
              <w:bottom w:val="nil" w:color="auto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280.74 </w:t>
            </w:r>
          </w:p>
        </w:tc>
        <w:tc>
          <w:tcPr>
            <w:tcW w:type="dxa" w:w="283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一、一般公共服务</w:t>
            </w:r>
          </w:p>
        </w:tc>
        <w:tc>
          <w:tcPr>
            <w:tcW w:type="dxa" w:w="8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1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47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4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342"/>
          <w:hidden w:val="0"/>
        </w:trPr>
        <w:tc>
          <w:tcPr>
            <w:tcW w:type="dxa" w:w="2508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000000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财政拨款</w:t>
            </w:r>
          </w:p>
        </w:tc>
        <w:tc>
          <w:tcPr>
            <w:tcW w:type="dxa" w:w="86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208.74 </w:t>
            </w:r>
          </w:p>
        </w:tc>
        <w:tc>
          <w:tcPr>
            <w:tcW w:type="dxa" w:w="283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二、外交</w:t>
            </w:r>
          </w:p>
        </w:tc>
        <w:tc>
          <w:tcPr>
            <w:tcW w:type="dxa" w:w="8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1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47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4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342"/>
          <w:hidden w:val="0"/>
        </w:trPr>
        <w:tc>
          <w:tcPr>
            <w:tcW w:type="dxa" w:w="2508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000000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非税收入</w:t>
            </w:r>
          </w:p>
        </w:tc>
        <w:tc>
          <w:tcPr>
            <w:tcW w:type="dxa" w:w="860"/>
            <w:vAlign w:val="center"/>
            <w:tcBorders>
              <w:bottom w:val="nil" w:color="auto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72.00 </w:t>
            </w:r>
          </w:p>
        </w:tc>
        <w:tc>
          <w:tcPr>
            <w:tcW w:type="dxa" w:w="283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三、国防</w:t>
            </w:r>
          </w:p>
        </w:tc>
        <w:tc>
          <w:tcPr>
            <w:tcW w:type="dxa" w:w="8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1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47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4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342"/>
          <w:hidden w:val="0"/>
        </w:trPr>
        <w:tc>
          <w:tcPr>
            <w:tcW w:type="dxa" w:w="2508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000000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上级专项转移支付收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入</w:t>
            </w:r>
          </w:p>
        </w:tc>
        <w:tc>
          <w:tcPr>
            <w:tcW w:type="dxa" w:w="860"/>
            <w:vAlign w:val="center"/>
            <w:tcBorders>
              <w:bottom w:val="nil" w:color="auto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3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四、公共安全</w:t>
            </w:r>
          </w:p>
        </w:tc>
        <w:tc>
          <w:tcPr>
            <w:tcW w:type="dxa" w:w="8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237.54 </w:t>
            </w:r>
          </w:p>
        </w:tc>
        <w:tc>
          <w:tcPr>
            <w:tcW w:type="dxa" w:w="85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1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237.54 </w:t>
            </w:r>
          </w:p>
        </w:tc>
        <w:tc>
          <w:tcPr>
            <w:tcW w:type="dxa" w:w="86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165.54 </w:t>
            </w:r>
          </w:p>
        </w:tc>
        <w:tc>
          <w:tcPr>
            <w:tcW w:type="dxa" w:w="7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47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4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342"/>
          <w:hidden w:val="0"/>
        </w:trPr>
        <w:tc>
          <w:tcPr>
            <w:tcW w:type="dxa" w:w="2508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000000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二、政府性基金预算</w:t>
            </w:r>
          </w:p>
        </w:tc>
        <w:tc>
          <w:tcPr>
            <w:tcW w:type="dxa" w:w="86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3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五、教育</w:t>
            </w:r>
          </w:p>
        </w:tc>
        <w:tc>
          <w:tcPr>
            <w:tcW w:type="dxa" w:w="8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85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1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86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7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47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4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342"/>
          <w:hidden w:val="0"/>
        </w:trPr>
        <w:tc>
          <w:tcPr>
            <w:tcW w:type="dxa" w:w="2508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000000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当年收入（基金）</w:t>
            </w:r>
          </w:p>
        </w:tc>
        <w:tc>
          <w:tcPr>
            <w:tcW w:type="dxa" w:w="86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3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六、科学技术</w:t>
            </w:r>
          </w:p>
        </w:tc>
        <w:tc>
          <w:tcPr>
            <w:tcW w:type="dxa" w:w="8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1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47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4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342"/>
          <w:hidden w:val="0"/>
        </w:trPr>
        <w:tc>
          <w:tcPr>
            <w:tcW w:type="dxa" w:w="2508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000000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上级专项转移支付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（基金）</w:t>
            </w:r>
          </w:p>
        </w:tc>
        <w:tc>
          <w:tcPr>
            <w:tcW w:type="dxa" w:w="860"/>
            <w:vAlign w:val="center"/>
            <w:tcBorders>
              <w:bottom w:val="nil" w:color="auto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3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七、文化体育与传媒</w:t>
            </w:r>
          </w:p>
        </w:tc>
        <w:tc>
          <w:tcPr>
            <w:tcW w:type="dxa" w:w="8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1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47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4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342"/>
          <w:hidden w:val="0"/>
        </w:trPr>
        <w:tc>
          <w:tcPr>
            <w:tcW w:type="dxa" w:w="2508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000000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三、专户管理的行政事业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性收费</w:t>
            </w:r>
          </w:p>
        </w:tc>
        <w:tc>
          <w:tcPr>
            <w:tcW w:type="dxa" w:w="860"/>
            <w:vAlign w:val="center"/>
            <w:tcBorders>
              <w:bottom w:val="nil" w:color="auto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3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八、社会保障和就业</w:t>
            </w:r>
          </w:p>
        </w:tc>
        <w:tc>
          <w:tcPr>
            <w:tcW w:type="dxa" w:w="8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85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1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86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7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47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4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342"/>
          <w:hidden w:val="0"/>
        </w:trPr>
        <w:tc>
          <w:tcPr>
            <w:tcW w:type="dxa" w:w="2508"/>
            <w:vAlign w:val="center"/>
            <w:gridSpan w:val="2"/>
            <w:tcBorders>
              <w:bottom w:val="single" w:color="000000" w:sz="4"/>
              <w:left w:val="single" w:color="auto" w:sz="4"/>
              <w:right w:val="single" w:color="000000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四、国有资本经营预算收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入</w:t>
            </w:r>
          </w:p>
        </w:tc>
        <w:tc>
          <w:tcPr>
            <w:tcW w:type="dxa" w:w="860"/>
            <w:vAlign w:val="center"/>
            <w:tcBorders>
              <w:bottom w:val="single" w:color="000000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36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九、社会保险基金支出</w:t>
            </w:r>
          </w:p>
        </w:tc>
        <w:tc>
          <w:tcPr>
            <w:tcW w:type="dxa" w:w="848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gridSpan w:val="2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1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1"/>
            <w:vAlign w:val="center"/>
            <w:gridSpan w:val="2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gridSpan w:val="2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3"/>
            <w:vAlign w:val="center"/>
            <w:gridSpan w:val="2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7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gridSpan w:val="2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47"/>
            <w:vAlign w:val="center"/>
            <w:gridSpan w:val="2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4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45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342"/>
          <w:hidden w:val="0"/>
        </w:trPr>
        <w:tc>
          <w:tcPr>
            <w:tcW w:type="dxa" w:w="2508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五、其他资金</w:t>
            </w:r>
          </w:p>
        </w:tc>
        <w:tc>
          <w:tcPr>
            <w:tcW w:type="dxa" w:w="8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3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十、卫生健康</w:t>
            </w:r>
          </w:p>
        </w:tc>
        <w:tc>
          <w:tcPr>
            <w:tcW w:type="dxa" w:w="84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12.27 </w:t>
            </w:r>
          </w:p>
        </w:tc>
        <w:tc>
          <w:tcPr>
            <w:tcW w:type="dxa" w:w="85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1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12.27 </w:t>
            </w:r>
          </w:p>
        </w:tc>
        <w:tc>
          <w:tcPr>
            <w:tcW w:type="dxa" w:w="863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12.27 </w:t>
            </w:r>
          </w:p>
        </w:tc>
        <w:tc>
          <w:tcPr>
            <w:tcW w:type="dxa" w:w="71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47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4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342"/>
          <w:hidden w:val="0"/>
        </w:trPr>
        <w:tc>
          <w:tcPr>
            <w:tcW w:type="dxa" w:w="1255"/>
            <w:vAlign w:val="center"/>
            <w:tcBorders>
              <w:bottom w:val="single" w:color="auto" w:sz="4"/>
              <w:left w:val="single" w:color="auto" w:sz="4"/>
              <w:right w:val="nil" w:color="auto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36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十一、节能环保</w:t>
            </w:r>
          </w:p>
        </w:tc>
        <w:tc>
          <w:tcPr>
            <w:tcW w:type="dxa" w:w="848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1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1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7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47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4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45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342"/>
          <w:hidden w:val="0"/>
        </w:trPr>
        <w:tc>
          <w:tcPr>
            <w:tcW w:type="dxa" w:w="2508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000000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3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十二、城乡社区事务</w:t>
            </w:r>
          </w:p>
        </w:tc>
        <w:tc>
          <w:tcPr>
            <w:tcW w:type="dxa" w:w="8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1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47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4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342"/>
          <w:hidden w:val="0"/>
        </w:trPr>
        <w:tc>
          <w:tcPr>
            <w:tcW w:type="dxa" w:w="2508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000000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3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十三、农林水事务</w:t>
            </w:r>
          </w:p>
        </w:tc>
        <w:tc>
          <w:tcPr>
            <w:tcW w:type="dxa" w:w="8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1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47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4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342"/>
          <w:hidden w:val="0"/>
        </w:trPr>
        <w:tc>
          <w:tcPr>
            <w:tcW w:type="dxa" w:w="2508"/>
            <w:vAlign w:val="center"/>
            <w:gridSpan w:val="2"/>
            <w:tcBorders>
              <w:bottom w:val="single" w:color="000000" w:sz="4"/>
              <w:left w:val="single" w:color="auto" w:sz="4"/>
              <w:right w:val="single" w:color="000000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0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36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十四、交通运输</w:t>
            </w:r>
          </w:p>
        </w:tc>
        <w:tc>
          <w:tcPr>
            <w:tcW w:type="dxa" w:w="848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gridSpan w:val="2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1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1"/>
            <w:vAlign w:val="center"/>
            <w:gridSpan w:val="2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gridSpan w:val="2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3"/>
            <w:vAlign w:val="center"/>
            <w:gridSpan w:val="2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7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gridSpan w:val="2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47"/>
            <w:vAlign w:val="center"/>
            <w:gridSpan w:val="2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4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45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342"/>
          <w:hidden w:val="0"/>
        </w:trPr>
        <w:tc>
          <w:tcPr>
            <w:tcW w:type="dxa" w:w="2508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0"/>
            <w:vAlign w:val="center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36"/>
            <w:vAlign w:val="center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十五、资源勘探信息等事务</w:t>
            </w:r>
          </w:p>
        </w:tc>
        <w:tc>
          <w:tcPr>
            <w:tcW w:type="dxa" w:w="848"/>
            <w:vAlign w:val="center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gridSpan w:val="2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1"/>
            <w:vAlign w:val="center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1"/>
            <w:vAlign w:val="center"/>
            <w:gridSpan w:val="2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gridSpan w:val="2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3"/>
            <w:vAlign w:val="center"/>
            <w:gridSpan w:val="2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7"/>
            <w:vAlign w:val="center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gridSpan w:val="2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47"/>
            <w:vAlign w:val="center"/>
            <w:gridSpan w:val="2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4"/>
            <w:vAlign w:val="center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4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342"/>
          <w:hidden w:val="0"/>
        </w:trPr>
        <w:tc>
          <w:tcPr>
            <w:tcW w:type="dxa" w:w="2508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36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十六、商业服务业等事务</w:t>
            </w:r>
          </w:p>
        </w:tc>
        <w:tc>
          <w:tcPr>
            <w:tcW w:type="dxa" w:w="848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1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1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7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47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4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45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342"/>
          <w:hidden w:val="0"/>
        </w:trPr>
        <w:tc>
          <w:tcPr>
            <w:tcW w:type="dxa" w:w="1255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3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十七、金融支出</w:t>
            </w:r>
          </w:p>
        </w:tc>
        <w:tc>
          <w:tcPr>
            <w:tcW w:type="dxa" w:w="8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1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47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4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342"/>
          <w:hidden w:val="0"/>
        </w:trPr>
        <w:tc>
          <w:tcPr>
            <w:tcW w:type="dxa" w:w="1255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3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十九、援助其他地区支出</w:t>
            </w:r>
          </w:p>
        </w:tc>
        <w:tc>
          <w:tcPr>
            <w:tcW w:type="dxa" w:w="8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1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47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4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342"/>
          <w:hidden w:val="0"/>
        </w:trPr>
        <w:tc>
          <w:tcPr>
            <w:tcW w:type="dxa" w:w="1255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3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二十、自然资源海洋气象等支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出</w:t>
            </w:r>
          </w:p>
        </w:tc>
        <w:tc>
          <w:tcPr>
            <w:tcW w:type="dxa" w:w="8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1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47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4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342"/>
          <w:hidden w:val="0"/>
        </w:trPr>
        <w:tc>
          <w:tcPr>
            <w:tcW w:type="dxa" w:w="1255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3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二十一、住房保障支出</w:t>
            </w:r>
          </w:p>
        </w:tc>
        <w:tc>
          <w:tcPr>
            <w:tcW w:type="dxa" w:w="8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85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1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86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7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47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4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342"/>
          <w:hidden w:val="0"/>
        </w:trPr>
        <w:tc>
          <w:tcPr>
            <w:tcW w:type="dxa" w:w="1255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3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二十二、粮油物资储备支出</w:t>
            </w:r>
          </w:p>
        </w:tc>
        <w:tc>
          <w:tcPr>
            <w:tcW w:type="dxa" w:w="8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1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47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4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342"/>
          <w:hidden w:val="0"/>
        </w:trPr>
        <w:tc>
          <w:tcPr>
            <w:tcW w:type="dxa" w:w="1255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3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二十三、国有资本经营预算</w:t>
            </w:r>
          </w:p>
        </w:tc>
        <w:tc>
          <w:tcPr>
            <w:tcW w:type="dxa" w:w="8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1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47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4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342"/>
          <w:hidden w:val="0"/>
        </w:trPr>
        <w:tc>
          <w:tcPr>
            <w:tcW w:type="dxa" w:w="1255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3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二十四、灾害防治及应急管理</w:t>
            </w:r>
          </w:p>
        </w:tc>
        <w:tc>
          <w:tcPr>
            <w:tcW w:type="dxa" w:w="8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1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47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4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342"/>
          <w:hidden w:val="0"/>
        </w:trPr>
        <w:tc>
          <w:tcPr>
            <w:tcW w:type="dxa" w:w="1255"/>
            <w:vAlign w:val="center"/>
            <w:tcBorders>
              <w:bottom w:val="single" w:color="auto" w:sz="4"/>
              <w:left w:val="single" w:color="auto" w:sz="4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3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二十七、预备费</w:t>
            </w:r>
          </w:p>
        </w:tc>
        <w:tc>
          <w:tcPr>
            <w:tcW w:type="dxa" w:w="8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1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47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4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342"/>
          <w:hidden w:val="0"/>
        </w:trPr>
        <w:tc>
          <w:tcPr>
            <w:tcW w:type="dxa" w:w="2508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000000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当年收入合计</w:t>
            </w:r>
          </w:p>
        </w:tc>
        <w:tc>
          <w:tcPr>
            <w:tcW w:type="dxa" w:w="86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280.74 </w:t>
            </w:r>
          </w:p>
        </w:tc>
        <w:tc>
          <w:tcPr>
            <w:tcW w:type="dxa" w:w="283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二十九、其他支出</w:t>
            </w:r>
          </w:p>
        </w:tc>
        <w:tc>
          <w:tcPr>
            <w:tcW w:type="dxa" w:w="8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1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47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4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342"/>
          <w:hidden w:val="0"/>
        </w:trPr>
        <w:tc>
          <w:tcPr>
            <w:tcW w:type="dxa" w:w="2508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000000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六、上年结转结余</w:t>
            </w:r>
          </w:p>
        </w:tc>
        <w:tc>
          <w:tcPr>
            <w:tcW w:type="dxa" w:w="860"/>
            <w:vAlign w:val="center"/>
            <w:tcBorders>
              <w:bottom w:val="nil" w:color="auto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3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三十、转移性支出</w:t>
            </w:r>
          </w:p>
        </w:tc>
        <w:tc>
          <w:tcPr>
            <w:tcW w:type="dxa" w:w="8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1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47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4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342"/>
          <w:hidden w:val="0"/>
        </w:trPr>
        <w:tc>
          <w:tcPr>
            <w:tcW w:type="dxa" w:w="2508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000000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一般公共预算结转结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余</w:t>
            </w:r>
          </w:p>
        </w:tc>
        <w:tc>
          <w:tcPr>
            <w:tcW w:type="dxa" w:w="86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3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三十一、债务还本支出</w:t>
            </w:r>
          </w:p>
        </w:tc>
        <w:tc>
          <w:tcPr>
            <w:tcW w:type="dxa" w:w="8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1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47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4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342"/>
          <w:hidden w:val="0"/>
        </w:trPr>
        <w:tc>
          <w:tcPr>
            <w:tcW w:type="dxa" w:w="2508"/>
            <w:vAlign w:val="center"/>
            <w:gridSpan w:val="2"/>
            <w:tcBorders>
              <w:bottom w:val="single" w:color="auto" w:sz="4"/>
              <w:left w:val="single" w:color="auto" w:sz="4"/>
              <w:right w:val="single" w:color="000000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基金结转结余</w:t>
            </w:r>
          </w:p>
        </w:tc>
        <w:tc>
          <w:tcPr>
            <w:tcW w:type="dxa" w:w="86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3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三十二、债务付息支出</w:t>
            </w:r>
          </w:p>
        </w:tc>
        <w:tc>
          <w:tcPr>
            <w:tcW w:type="dxa" w:w="8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1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47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4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342"/>
          <w:hidden w:val="0"/>
        </w:trPr>
        <w:tc>
          <w:tcPr>
            <w:tcW w:type="dxa" w:w="2508"/>
            <w:vAlign w:val="center"/>
            <w:gridSpan w:val="2"/>
            <w:tcBorders>
              <w:bottom w:val="single" w:color="000000" w:sz="4"/>
              <w:left w:val="single" w:color="auto" w:sz="4"/>
              <w:right w:val="single" w:color="000000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国有资本经营结转结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余</w:t>
            </w:r>
          </w:p>
        </w:tc>
        <w:tc>
          <w:tcPr>
            <w:tcW w:type="dxa" w:w="860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836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三十三、债务发行费用支出</w:t>
            </w:r>
          </w:p>
        </w:tc>
        <w:tc>
          <w:tcPr>
            <w:tcW w:type="dxa" w:w="848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0"/>
            <w:vAlign w:val="center"/>
            <w:gridSpan w:val="2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1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1"/>
            <w:vAlign w:val="center"/>
            <w:gridSpan w:val="2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gridSpan w:val="2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63"/>
            <w:vAlign w:val="center"/>
            <w:gridSpan w:val="2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7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gridSpan w:val="2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47"/>
            <w:vAlign w:val="center"/>
            <w:gridSpan w:val="2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4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45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342"/>
          <w:hidden w:val="0"/>
        </w:trPr>
        <w:tc>
          <w:tcPr>
            <w:tcW w:type="dxa" w:w="2508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收  入  合  计</w:t>
            </w:r>
          </w:p>
        </w:tc>
        <w:tc>
          <w:tcPr>
            <w:tcW w:type="dxa" w:w="8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280.74 </w:t>
            </w:r>
          </w:p>
        </w:tc>
        <w:tc>
          <w:tcPr>
            <w:tcW w:type="dxa" w:w="283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支出合计</w:t>
            </w:r>
          </w:p>
        </w:tc>
        <w:tc>
          <w:tcPr>
            <w:tcW w:type="dxa" w:w="84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280.74 </w:t>
            </w:r>
          </w:p>
        </w:tc>
        <w:tc>
          <w:tcPr>
            <w:tcW w:type="dxa" w:w="85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1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2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280.74 </w:t>
            </w:r>
          </w:p>
        </w:tc>
        <w:tc>
          <w:tcPr>
            <w:tcW w:type="dxa" w:w="863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208.74 </w:t>
            </w:r>
          </w:p>
        </w:tc>
        <w:tc>
          <w:tcPr>
            <w:tcW w:type="dxa" w:w="71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93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47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5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54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</w:tbl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14786" w:type="dxa"/>
        <w:tblLook w:val="000000" w:firstRow="0" w:lastRow="0" w:firstColumn="0" w:lastColumn="0" w:noHBand="0" w:noVBand="0"/>
        <w:tblLayout w:type="fixed"/>
      </w:tblPr>
      <w:tblGrid>
        <w:gridCol w:w="758"/>
        <w:gridCol w:w="649"/>
        <w:gridCol w:w="652"/>
        <w:gridCol w:w="4375"/>
        <w:gridCol w:w="868"/>
        <w:gridCol w:w="869"/>
        <w:gridCol w:w="1619"/>
        <w:gridCol w:w="1619"/>
        <w:gridCol w:w="823"/>
        <w:gridCol w:w="1162"/>
        <w:gridCol w:w="1392"/>
      </w:tblGrid>
      <w:tr>
        <w:trPr>
          <w:trHeight w:hRule="atleast" w:val="840"/>
          <w:hidden w:val="0"/>
        </w:trPr>
        <w:tc>
          <w:tcPr>
            <w:tcW w:type="dxa" w:w="14786"/>
            <w:vAlign w:val="center"/>
            <w:gridSpan w:val="11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40"/>
                <w:szCs w:val="40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40"/>
                <w:szCs w:val="40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40"/>
                <w:szCs w:val="40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40"/>
                <w:szCs w:val="40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40"/>
                <w:szCs w:val="40"/>
                <w:rFonts w:ascii="宋体" w:eastAsia="宋体" w:hAnsi="宋体" w:hint="default"/>
              </w:rPr>
              <w:autoSpaceDE w:val="1"/>
              <w:autoSpaceDN w:val="1"/>
            </w:pPr>
            <w:bookmarkStart w:id="5" w:name="RANGE!A1:K46"/>
            <w:r>
              <w:rPr>
                <w:b w:val="1"/>
                <w:color w:val="auto"/>
                <w:position w:val="0"/>
                <w:sz w:val="40"/>
                <w:szCs w:val="40"/>
                <w:rFonts w:ascii="宋体" w:eastAsia="宋体" w:hAnsi="宋体" w:hint="default"/>
              </w:rPr>
              <w:t>2019年部门一般公共预算支出情况表</w:t>
            </w:r>
            <w:bookmarkEnd w:id="5"/>
          </w:p>
        </w:tc>
      </w:tr>
      <w:tr>
        <w:trPr>
          <w:trHeight w:hRule="atleast" w:val="402"/>
          <w:hidden w:val="0"/>
        </w:trPr>
        <w:tc>
          <w:tcPr>
            <w:tcW w:type="dxa" w:w="6434"/>
            <w:vAlign w:val="center"/>
            <w:gridSpan w:val="4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单位名称：焦作市中级人民法院机关后勤服务中心</w:t>
            </w:r>
          </w:p>
        </w:tc>
        <w:tc>
          <w:tcPr>
            <w:tcW w:type="dxa" w:w="868"/>
            <w:vAlign w:val="center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615"/>
            <w:vAlign w:val="center"/>
            <w:gridSpan w:val="5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160"/>
              <w:pageBreakBefore w:val="0"/>
              <w:ind w:right="764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                                           单位：万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元</w:t>
            </w:r>
          </w:p>
        </w:tc>
      </w:tr>
      <w:tr>
        <w:trPr>
          <w:trHeight w:hRule="atleast" w:val="330"/>
          <w:hidden w:val="0"/>
        </w:trPr>
        <w:tc>
          <w:tcPr>
            <w:tcW w:type="dxa" w:w="2059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000000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科目编码</w:t>
            </w:r>
          </w:p>
        </w:tc>
        <w:tc>
          <w:tcPr>
            <w:tcW w:type="dxa" w:w="4375"/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单位名称</w:t>
            </w:r>
          </w:p>
        </w:tc>
        <w:tc>
          <w:tcPr>
            <w:tcW w:type="dxa" w:w="868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总计</w:t>
            </w:r>
          </w:p>
        </w:tc>
        <w:tc>
          <w:tcPr>
            <w:tcW w:type="dxa" w:w="7484"/>
            <w:vAlign w:val="center"/>
            <w:gridSpan w:val="6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2019年</w:t>
            </w:r>
          </w:p>
        </w:tc>
      </w:tr>
      <w:tr>
        <w:trPr>
          <w:trHeight w:hRule="atleast" w:val="285"/>
          <w:hidden w:val="0"/>
        </w:trPr>
        <w:tc>
          <w:tcPr>
            <w:tcW w:type="dxa" w:w="758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类</w:t>
            </w:r>
          </w:p>
        </w:tc>
        <w:tc>
          <w:tcPr>
            <w:tcW w:type="dxa" w:w="649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款</w:t>
            </w:r>
          </w:p>
        </w:tc>
        <w:tc>
          <w:tcPr>
            <w:tcW w:type="dxa" w:w="652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项</w:t>
            </w:r>
          </w:p>
        </w:tc>
        <w:tc>
          <w:tcPr>
            <w:tcW w:type="dxa" w:w="4375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/>
        </w:tc>
        <w:tc>
          <w:tcPr>
            <w:tcW w:type="dxa" w:w="86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/>
        </w:tc>
        <w:tc>
          <w:tcPr>
            <w:tcW w:type="dxa" w:w="4107"/>
            <w:vAlign w:val="center"/>
            <w:gridSpan w:val="3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基本支出</w:t>
            </w:r>
          </w:p>
        </w:tc>
        <w:tc>
          <w:tcPr>
            <w:tcW w:type="dxa" w:w="3377"/>
            <w:vAlign w:val="center"/>
            <w:gridSpan w:val="3"/>
            <w:tcBorders>
              <w:bottom w:val="single" w:color="auto" w:sz="4"/>
              <w:left w:val="nil" w:color="auto"/>
              <w:right w:val="single" w:color="000000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项目支出</w:t>
            </w:r>
          </w:p>
        </w:tc>
      </w:tr>
      <w:tr>
        <w:trPr>
          <w:trHeight w:hRule="atleast" w:val="615"/>
          <w:hidden w:val="0"/>
        </w:trPr>
        <w:tc>
          <w:tcPr>
            <w:tcW w:type="dxa" w:w="75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649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652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4375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/>
        </w:tc>
        <w:tc>
          <w:tcPr>
            <w:tcW w:type="dxa" w:w="86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/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小计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人员经费支出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公用经费支出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小计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部门支出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专项支出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**</w:t>
            </w:r>
          </w:p>
        </w:tc>
        <w:tc>
          <w:tcPr>
            <w:tcW w:type="dxa" w:w="6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**</w:t>
            </w:r>
          </w:p>
        </w:tc>
        <w:tc>
          <w:tcPr>
            <w:tcW w:type="dxa" w:w="65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**</w:t>
            </w:r>
          </w:p>
        </w:tc>
        <w:tc>
          <w:tcPr>
            <w:tcW w:type="dxa" w:w="437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**</w:t>
            </w:r>
          </w:p>
        </w:tc>
        <w:tc>
          <w:tcPr>
            <w:tcW w:type="dxa" w:w="8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</w:t>
            </w: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3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4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6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7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7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合计</w:t>
            </w:r>
          </w:p>
        </w:tc>
        <w:tc>
          <w:tcPr>
            <w:tcW w:type="dxa" w:w="8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280.74 </w:t>
            </w: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223.74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204.78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18.96 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57.00 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57.00 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204</w:t>
            </w:r>
          </w:p>
        </w:tc>
        <w:tc>
          <w:tcPr>
            <w:tcW w:type="dxa" w:w="6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7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公共安全支出</w:t>
            </w:r>
          </w:p>
        </w:tc>
        <w:tc>
          <w:tcPr>
            <w:tcW w:type="dxa" w:w="8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237.54 </w:t>
            </w: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180.54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162.30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18.24 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57.00 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57.00 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05</w:t>
            </w:r>
          </w:p>
        </w:tc>
        <w:tc>
          <w:tcPr>
            <w:tcW w:type="dxa" w:w="65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7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法院</w:t>
            </w:r>
          </w:p>
        </w:tc>
        <w:tc>
          <w:tcPr>
            <w:tcW w:type="dxa" w:w="8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237.54 </w:t>
            </w: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180.54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162.30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18.24 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57.00 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57.00 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03</w:t>
            </w:r>
          </w:p>
        </w:tc>
        <w:tc>
          <w:tcPr>
            <w:tcW w:type="dxa" w:w="437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机关服务</w:t>
            </w:r>
          </w:p>
        </w:tc>
        <w:tc>
          <w:tcPr>
            <w:tcW w:type="dxa" w:w="8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57.00 </w:t>
            </w: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57.00 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57.00 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49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52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03</w:t>
            </w:r>
          </w:p>
        </w:tc>
        <w:tc>
          <w:tcPr>
            <w:tcW w:type="dxa" w:w="4375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后勤服务保障和机关餐厅伙食补</w:t>
            </w:r>
          </w:p>
        </w:tc>
        <w:tc>
          <w:tcPr>
            <w:tcW w:type="dxa" w:w="868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57.00 </w:t>
            </w:r>
          </w:p>
        </w:tc>
        <w:tc>
          <w:tcPr>
            <w:tcW w:type="dxa" w:w="869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619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619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23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57.00 </w:t>
            </w:r>
          </w:p>
        </w:tc>
        <w:tc>
          <w:tcPr>
            <w:tcW w:type="dxa" w:w="1162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57.00 </w:t>
            </w:r>
          </w:p>
        </w:tc>
        <w:tc>
          <w:tcPr>
            <w:tcW w:type="dxa" w:w="1392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49"/>
            <w:vAlign w:val="center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2"/>
            <w:vAlign w:val="center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</w:p>
        </w:tc>
        <w:tc>
          <w:tcPr>
            <w:tcW w:type="dxa" w:w="4375"/>
            <w:vAlign w:val="center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事业运行</w:t>
            </w:r>
          </w:p>
        </w:tc>
        <w:tc>
          <w:tcPr>
            <w:tcW w:type="dxa" w:w="868"/>
            <w:vAlign w:val="center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180.54 </w:t>
            </w:r>
          </w:p>
        </w:tc>
        <w:tc>
          <w:tcPr>
            <w:tcW w:type="dxa" w:w="869"/>
            <w:vAlign w:val="center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180.54 </w:t>
            </w:r>
          </w:p>
        </w:tc>
        <w:tc>
          <w:tcPr>
            <w:tcW w:type="dxa" w:w="1619"/>
            <w:vAlign w:val="center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162.30 </w:t>
            </w:r>
          </w:p>
        </w:tc>
        <w:tc>
          <w:tcPr>
            <w:tcW w:type="dxa" w:w="1619"/>
            <w:vAlign w:val="center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18.24 </w:t>
            </w:r>
          </w:p>
        </w:tc>
        <w:tc>
          <w:tcPr>
            <w:tcW w:type="dxa" w:w="823"/>
            <w:vAlign w:val="center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000000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49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52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50</w:t>
            </w:r>
          </w:p>
        </w:tc>
        <w:tc>
          <w:tcPr>
            <w:tcW w:type="dxa" w:w="4375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70%基础性绩效工资</w:t>
            </w:r>
          </w:p>
        </w:tc>
        <w:tc>
          <w:tcPr>
            <w:tcW w:type="dxa" w:w="868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24.47 </w:t>
            </w: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24.47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24.47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5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50</w:t>
            </w:r>
          </w:p>
        </w:tc>
        <w:tc>
          <w:tcPr>
            <w:tcW w:type="dxa" w:w="437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福利费</w:t>
            </w:r>
          </w:p>
        </w:tc>
        <w:tc>
          <w:tcPr>
            <w:tcW w:type="dxa" w:w="8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2.36 </w:t>
            </w: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2.36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2.36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5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50</w:t>
            </w:r>
          </w:p>
        </w:tc>
        <w:tc>
          <w:tcPr>
            <w:tcW w:type="dxa" w:w="437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生育保险费</w:t>
            </w:r>
          </w:p>
        </w:tc>
        <w:tc>
          <w:tcPr>
            <w:tcW w:type="dxa" w:w="8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0.47 </w:t>
            </w: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0.47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0.47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5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50</w:t>
            </w:r>
          </w:p>
        </w:tc>
        <w:tc>
          <w:tcPr>
            <w:tcW w:type="dxa" w:w="437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在职人员物业服务补贴</w:t>
            </w:r>
          </w:p>
        </w:tc>
        <w:tc>
          <w:tcPr>
            <w:tcW w:type="dxa" w:w="8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3.67 </w:t>
            </w: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3.67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3.67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5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50</w:t>
            </w:r>
          </w:p>
        </w:tc>
        <w:tc>
          <w:tcPr>
            <w:tcW w:type="dxa" w:w="437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工会经费</w:t>
            </w:r>
          </w:p>
        </w:tc>
        <w:tc>
          <w:tcPr>
            <w:tcW w:type="dxa" w:w="8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1.89 </w:t>
            </w: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1.89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1.89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5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50</w:t>
            </w:r>
          </w:p>
        </w:tc>
        <w:tc>
          <w:tcPr>
            <w:tcW w:type="dxa" w:w="437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月度目标考核奖</w:t>
            </w:r>
          </w:p>
        </w:tc>
        <w:tc>
          <w:tcPr>
            <w:tcW w:type="dxa" w:w="8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27.65 </w:t>
            </w: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27.65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27.65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5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50</w:t>
            </w:r>
          </w:p>
        </w:tc>
        <w:tc>
          <w:tcPr>
            <w:tcW w:type="dxa" w:w="437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在职人员文明奖</w:t>
            </w:r>
          </w:p>
        </w:tc>
        <w:tc>
          <w:tcPr>
            <w:tcW w:type="dxa" w:w="8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21.60 </w:t>
            </w: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21.60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21.60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49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52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50</w:t>
            </w:r>
          </w:p>
        </w:tc>
        <w:tc>
          <w:tcPr>
            <w:tcW w:type="dxa" w:w="4375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失业保险金</w:t>
            </w:r>
          </w:p>
        </w:tc>
        <w:tc>
          <w:tcPr>
            <w:tcW w:type="dxa" w:w="868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0.66 </w:t>
            </w:r>
          </w:p>
        </w:tc>
        <w:tc>
          <w:tcPr>
            <w:tcW w:type="dxa" w:w="869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0.66 </w:t>
            </w:r>
          </w:p>
        </w:tc>
        <w:tc>
          <w:tcPr>
            <w:tcW w:type="dxa" w:w="1619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0.66 </w:t>
            </w:r>
          </w:p>
        </w:tc>
        <w:tc>
          <w:tcPr>
            <w:tcW w:type="dxa" w:w="1619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23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4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5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50</w:t>
            </w:r>
          </w:p>
        </w:tc>
        <w:tc>
          <w:tcPr>
            <w:tcW w:type="dxa" w:w="43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30%奖励性绩效工资</w:t>
            </w:r>
          </w:p>
        </w:tc>
        <w:tc>
          <w:tcPr>
            <w:tcW w:type="dxa" w:w="8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14.50 </w:t>
            </w:r>
          </w:p>
        </w:tc>
        <w:tc>
          <w:tcPr>
            <w:tcW w:type="dxa" w:w="86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14.50 </w:t>
            </w:r>
          </w:p>
        </w:tc>
        <w:tc>
          <w:tcPr>
            <w:tcW w:type="dxa" w:w="161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14.50 </w:t>
            </w:r>
          </w:p>
        </w:tc>
        <w:tc>
          <w:tcPr>
            <w:tcW w:type="dxa" w:w="161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2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49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52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50</w:t>
            </w:r>
          </w:p>
        </w:tc>
        <w:tc>
          <w:tcPr>
            <w:tcW w:type="dxa" w:w="4375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事业人员及事业技术工人年基本工资</w:t>
            </w:r>
          </w:p>
        </w:tc>
        <w:tc>
          <w:tcPr>
            <w:tcW w:type="dxa" w:w="868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48.10 </w:t>
            </w: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48.10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48.10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5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50</w:t>
            </w:r>
          </w:p>
        </w:tc>
        <w:tc>
          <w:tcPr>
            <w:tcW w:type="dxa" w:w="437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工伤保险费</w:t>
            </w:r>
          </w:p>
        </w:tc>
        <w:tc>
          <w:tcPr>
            <w:tcW w:type="dxa" w:w="8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0.19 </w:t>
            </w: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0.19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0.19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5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50</w:t>
            </w:r>
          </w:p>
        </w:tc>
        <w:tc>
          <w:tcPr>
            <w:tcW w:type="dxa" w:w="437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年度目标考核奖</w:t>
            </w:r>
          </w:p>
        </w:tc>
        <w:tc>
          <w:tcPr>
            <w:tcW w:type="dxa" w:w="8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11.94 </w:t>
            </w: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11.94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11.94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5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50</w:t>
            </w:r>
          </w:p>
        </w:tc>
        <w:tc>
          <w:tcPr>
            <w:tcW w:type="dxa" w:w="437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其他特岗津贴补贴</w:t>
            </w:r>
          </w:p>
        </w:tc>
        <w:tc>
          <w:tcPr>
            <w:tcW w:type="dxa" w:w="8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1.15 </w:t>
            </w: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1.15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1.15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5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50</w:t>
            </w:r>
          </w:p>
        </w:tc>
        <w:tc>
          <w:tcPr>
            <w:tcW w:type="dxa" w:w="437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在职人员采暖补贴</w:t>
            </w:r>
          </w:p>
        </w:tc>
        <w:tc>
          <w:tcPr>
            <w:tcW w:type="dxa" w:w="8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2.79 </w:t>
            </w: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2.79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2.79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5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50</w:t>
            </w:r>
          </w:p>
        </w:tc>
        <w:tc>
          <w:tcPr>
            <w:tcW w:type="dxa" w:w="437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国家保留津贴(事业)</w:t>
            </w:r>
          </w:p>
        </w:tc>
        <w:tc>
          <w:tcPr>
            <w:tcW w:type="dxa" w:w="8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0.86 </w:t>
            </w: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0.86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0.86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204</w:t>
            </w:r>
          </w:p>
        </w:tc>
        <w:tc>
          <w:tcPr>
            <w:tcW w:type="dxa" w:w="6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5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50</w:t>
            </w:r>
          </w:p>
        </w:tc>
        <w:tc>
          <w:tcPr>
            <w:tcW w:type="dxa" w:w="437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在职人员定额公用经费</w:t>
            </w:r>
          </w:p>
        </w:tc>
        <w:tc>
          <w:tcPr>
            <w:tcW w:type="dxa" w:w="8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18.24 </w:t>
            </w: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18.24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18.24 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205</w:t>
            </w:r>
          </w:p>
        </w:tc>
        <w:tc>
          <w:tcPr>
            <w:tcW w:type="dxa" w:w="6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7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教育支出</w:t>
            </w:r>
          </w:p>
        </w:tc>
        <w:tc>
          <w:tcPr>
            <w:tcW w:type="dxa" w:w="8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08</w:t>
            </w:r>
          </w:p>
        </w:tc>
        <w:tc>
          <w:tcPr>
            <w:tcW w:type="dxa" w:w="65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7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进修及培训</w:t>
            </w:r>
          </w:p>
        </w:tc>
        <w:tc>
          <w:tcPr>
            <w:tcW w:type="dxa" w:w="8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03</w:t>
            </w:r>
          </w:p>
        </w:tc>
        <w:tc>
          <w:tcPr>
            <w:tcW w:type="dxa" w:w="437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培训支出</w:t>
            </w:r>
          </w:p>
        </w:tc>
        <w:tc>
          <w:tcPr>
            <w:tcW w:type="dxa" w:w="8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205</w:t>
            </w:r>
          </w:p>
        </w:tc>
        <w:tc>
          <w:tcPr>
            <w:tcW w:type="dxa" w:w="6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08</w:t>
            </w:r>
          </w:p>
        </w:tc>
        <w:tc>
          <w:tcPr>
            <w:tcW w:type="dxa" w:w="65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03</w:t>
            </w:r>
          </w:p>
        </w:tc>
        <w:tc>
          <w:tcPr>
            <w:tcW w:type="dxa" w:w="437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在职人员公用经费（培训费）</w:t>
            </w:r>
          </w:p>
        </w:tc>
        <w:tc>
          <w:tcPr>
            <w:tcW w:type="dxa" w:w="8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208</w:t>
            </w:r>
          </w:p>
        </w:tc>
        <w:tc>
          <w:tcPr>
            <w:tcW w:type="dxa" w:w="649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2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75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社会保障和就业支出</w:t>
            </w:r>
          </w:p>
        </w:tc>
        <w:tc>
          <w:tcPr>
            <w:tcW w:type="dxa" w:w="868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869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1619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1619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23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auto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49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05</w:t>
            </w:r>
          </w:p>
        </w:tc>
        <w:tc>
          <w:tcPr>
            <w:tcW w:type="dxa" w:w="652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75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行政事业单位离退休</w:t>
            </w:r>
          </w:p>
        </w:tc>
        <w:tc>
          <w:tcPr>
            <w:tcW w:type="dxa" w:w="868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49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2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05</w:t>
            </w:r>
          </w:p>
        </w:tc>
        <w:tc>
          <w:tcPr>
            <w:tcW w:type="dxa" w:w="4375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机关事业单位基本养老保险缴费支出</w:t>
            </w:r>
          </w:p>
        </w:tc>
        <w:tc>
          <w:tcPr>
            <w:tcW w:type="dxa" w:w="868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869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1619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1619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23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208</w:t>
            </w:r>
          </w:p>
        </w:tc>
        <w:tc>
          <w:tcPr>
            <w:tcW w:type="dxa" w:w="649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652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05</w:t>
            </w:r>
          </w:p>
        </w:tc>
        <w:tc>
          <w:tcPr>
            <w:tcW w:type="dxa" w:w="4375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养老保险金</w:t>
            </w:r>
          </w:p>
        </w:tc>
        <w:tc>
          <w:tcPr>
            <w:tcW w:type="dxa" w:w="868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210</w:t>
            </w:r>
          </w:p>
        </w:tc>
        <w:tc>
          <w:tcPr>
            <w:tcW w:type="dxa" w:w="6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7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卫生健康支出</w:t>
            </w:r>
          </w:p>
        </w:tc>
        <w:tc>
          <w:tcPr>
            <w:tcW w:type="dxa" w:w="8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12.27 </w:t>
            </w: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12.27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12.27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11</w:t>
            </w:r>
          </w:p>
        </w:tc>
        <w:tc>
          <w:tcPr>
            <w:tcW w:type="dxa" w:w="65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7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行政事业单位医疗</w:t>
            </w:r>
          </w:p>
        </w:tc>
        <w:tc>
          <w:tcPr>
            <w:tcW w:type="dxa" w:w="8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12.27 </w:t>
            </w: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12.27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12.27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02</w:t>
            </w:r>
          </w:p>
        </w:tc>
        <w:tc>
          <w:tcPr>
            <w:tcW w:type="dxa" w:w="437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事业单位医疗</w:t>
            </w:r>
          </w:p>
        </w:tc>
        <w:tc>
          <w:tcPr>
            <w:tcW w:type="dxa" w:w="8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6.61 </w:t>
            </w: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6.61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6.61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210</w:t>
            </w:r>
          </w:p>
        </w:tc>
        <w:tc>
          <w:tcPr>
            <w:tcW w:type="dxa" w:w="6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11</w:t>
            </w:r>
          </w:p>
        </w:tc>
        <w:tc>
          <w:tcPr>
            <w:tcW w:type="dxa" w:w="65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02</w:t>
            </w:r>
          </w:p>
        </w:tc>
        <w:tc>
          <w:tcPr>
            <w:tcW w:type="dxa" w:w="437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医疗保险金</w:t>
            </w:r>
          </w:p>
        </w:tc>
        <w:tc>
          <w:tcPr>
            <w:tcW w:type="dxa" w:w="8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6.61 </w:t>
            </w: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6.61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6.61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03</w:t>
            </w:r>
          </w:p>
        </w:tc>
        <w:tc>
          <w:tcPr>
            <w:tcW w:type="dxa" w:w="437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公务员医疗补助</w:t>
            </w:r>
          </w:p>
        </w:tc>
        <w:tc>
          <w:tcPr>
            <w:tcW w:type="dxa" w:w="8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5.66 </w:t>
            </w: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5.66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5.66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000000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210</w:t>
            </w:r>
          </w:p>
        </w:tc>
        <w:tc>
          <w:tcPr>
            <w:tcW w:type="dxa" w:w="649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11</w:t>
            </w:r>
          </w:p>
        </w:tc>
        <w:tc>
          <w:tcPr>
            <w:tcW w:type="dxa" w:w="652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03</w:t>
            </w:r>
          </w:p>
        </w:tc>
        <w:tc>
          <w:tcPr>
            <w:tcW w:type="dxa" w:w="4375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公务员医疗补助</w:t>
            </w:r>
          </w:p>
        </w:tc>
        <w:tc>
          <w:tcPr>
            <w:tcW w:type="dxa" w:w="868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5.66 </w:t>
            </w:r>
          </w:p>
        </w:tc>
        <w:tc>
          <w:tcPr>
            <w:tcW w:type="dxa" w:w="869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5.66 </w:t>
            </w:r>
          </w:p>
        </w:tc>
        <w:tc>
          <w:tcPr>
            <w:tcW w:type="dxa" w:w="1619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5.66 </w:t>
            </w:r>
          </w:p>
        </w:tc>
        <w:tc>
          <w:tcPr>
            <w:tcW w:type="dxa" w:w="1619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23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000000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221</w:t>
            </w:r>
          </w:p>
        </w:tc>
        <w:tc>
          <w:tcPr>
            <w:tcW w:type="dxa" w:w="64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住房保障支出</w:t>
            </w:r>
          </w:p>
        </w:tc>
        <w:tc>
          <w:tcPr>
            <w:tcW w:type="dxa" w:w="86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86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161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161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2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49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02</w:t>
            </w:r>
          </w:p>
        </w:tc>
        <w:tc>
          <w:tcPr>
            <w:tcW w:type="dxa" w:w="652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75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住房改革支出</w:t>
            </w:r>
          </w:p>
        </w:tc>
        <w:tc>
          <w:tcPr>
            <w:tcW w:type="dxa" w:w="868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01</w:t>
            </w:r>
          </w:p>
        </w:tc>
        <w:tc>
          <w:tcPr>
            <w:tcW w:type="dxa" w:w="437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住房公积金</w:t>
            </w:r>
          </w:p>
        </w:tc>
        <w:tc>
          <w:tcPr>
            <w:tcW w:type="dxa" w:w="8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75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221</w:t>
            </w:r>
          </w:p>
        </w:tc>
        <w:tc>
          <w:tcPr>
            <w:tcW w:type="dxa" w:w="6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02</w:t>
            </w:r>
          </w:p>
        </w:tc>
        <w:tc>
          <w:tcPr>
            <w:tcW w:type="dxa" w:w="65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01</w:t>
            </w:r>
          </w:p>
        </w:tc>
        <w:tc>
          <w:tcPr>
            <w:tcW w:type="dxa" w:w="437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住房公积金</w:t>
            </w:r>
          </w:p>
        </w:tc>
        <w:tc>
          <w:tcPr>
            <w:tcW w:type="dxa" w:w="86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86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161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2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6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9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</w:tbl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14786" w:type="dxa"/>
        <w:tblLook w:val="000000" w:firstRow="0" w:lastRow="0" w:firstColumn="0" w:lastColumn="0" w:noHBand="0" w:noVBand="0"/>
        <w:tblLayout w:type="fixed"/>
      </w:tblPr>
      <w:tblGrid>
        <w:gridCol w:w="539"/>
        <w:gridCol w:w="423"/>
        <w:gridCol w:w="2396"/>
        <w:gridCol w:w="506"/>
        <w:gridCol w:w="411"/>
        <w:gridCol w:w="1185"/>
        <w:gridCol w:w="804"/>
        <w:gridCol w:w="57"/>
        <w:gridCol w:w="748"/>
        <w:gridCol w:w="56"/>
        <w:gridCol w:w="689"/>
        <w:gridCol w:w="659"/>
        <w:gridCol w:w="59"/>
        <w:gridCol w:w="497"/>
        <w:gridCol w:w="742"/>
        <w:gridCol w:w="213"/>
        <w:gridCol w:w="343"/>
        <w:gridCol w:w="316"/>
        <w:gridCol w:w="917"/>
        <w:gridCol w:w="293"/>
        <w:gridCol w:w="393"/>
        <w:gridCol w:w="408"/>
        <w:gridCol w:w="396"/>
        <w:gridCol w:w="538"/>
        <w:gridCol w:w="1198"/>
      </w:tblGrid>
      <w:tr>
        <w:trPr>
          <w:trHeight w:hRule="atleast" w:val="840"/>
          <w:hidden w:val="0"/>
        </w:trPr>
        <w:tc>
          <w:tcPr>
            <w:tcW w:type="dxa" w:w="14786"/>
            <w:vAlign w:val="center"/>
            <w:gridSpan w:val="25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b w:val="1"/>
                <w:color w:val="000000"/>
                <w:position w:val="0"/>
                <w:sz w:val="40"/>
                <w:szCs w:val="4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40"/>
                <w:szCs w:val="40"/>
                <w:rFonts w:ascii="宋体" w:eastAsia="宋体" w:hAnsi="宋体" w:hint="default"/>
              </w:rPr>
              <w:t>2019年一般公共预算基本支出情况表</w:t>
            </w:r>
          </w:p>
        </w:tc>
      </w:tr>
      <w:tr>
        <w:trPr>
          <w:trHeight w:hRule="atleast" w:val="402"/>
          <w:hidden w:val="0"/>
        </w:trPr>
        <w:tc>
          <w:tcPr>
            <w:tcW w:type="dxa" w:w="5460"/>
            <w:vAlign w:val="center"/>
            <w:gridSpan w:val="6"/>
            <w:tcBorders>
              <w:bottom w:val="single" w:color="000000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单位名称：焦作市中级人民法院机关后勤服务中心</w:t>
            </w:r>
          </w:p>
        </w:tc>
        <w:tc>
          <w:tcPr>
            <w:tcW w:type="dxa" w:w="861"/>
            <w:vAlign w:val="center"/>
            <w:gridSpan w:val="2"/>
            <w:tcBorders>
              <w:bottom w:val="single" w:color="000000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40"/>
                <w:szCs w:val="40"/>
                <w:rFonts w:ascii="黑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804"/>
            <w:vAlign w:val="center"/>
            <w:gridSpan w:val="2"/>
            <w:tcBorders>
              <w:bottom w:val="single" w:color="000000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40"/>
                <w:szCs w:val="40"/>
                <w:rFonts w:ascii="黑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689"/>
            <w:vAlign w:val="center"/>
            <w:tcBorders>
              <w:bottom w:val="single" w:color="000000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40"/>
                <w:szCs w:val="40"/>
                <w:rFonts w:ascii="黑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659"/>
            <w:vAlign w:val="center"/>
            <w:tcBorders>
              <w:bottom w:val="single" w:color="000000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40"/>
                <w:szCs w:val="40"/>
                <w:rFonts w:ascii="黑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556"/>
            <w:vAlign w:val="center"/>
            <w:gridSpan w:val="2"/>
            <w:tcBorders>
              <w:bottom w:val="single" w:color="000000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40"/>
                <w:szCs w:val="40"/>
                <w:rFonts w:ascii="黑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742"/>
            <w:vAlign w:val="center"/>
            <w:tcBorders>
              <w:bottom w:val="single" w:color="000000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40"/>
                <w:szCs w:val="40"/>
                <w:rFonts w:ascii="黑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556"/>
            <w:vAlign w:val="center"/>
            <w:gridSpan w:val="2"/>
            <w:tcBorders>
              <w:bottom w:val="single" w:color="000000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40"/>
                <w:szCs w:val="40"/>
                <w:rFonts w:ascii="黑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33"/>
            <w:vAlign w:val="center"/>
            <w:gridSpan w:val="2"/>
            <w:tcBorders>
              <w:bottom w:val="single" w:color="000000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40"/>
                <w:szCs w:val="40"/>
                <w:rFonts w:ascii="黑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686"/>
            <w:vAlign w:val="center"/>
            <w:gridSpan w:val="2"/>
            <w:tcBorders>
              <w:bottom w:val="single" w:color="000000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40"/>
                <w:szCs w:val="40"/>
                <w:rFonts w:ascii="黑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804"/>
            <w:vAlign w:val="center"/>
            <w:gridSpan w:val="2"/>
            <w:tcBorders>
              <w:bottom w:val="single" w:color="000000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40"/>
                <w:szCs w:val="40"/>
                <w:rFonts w:ascii="黑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736"/>
            <w:vAlign w:val="center"/>
            <w:gridSpan w:val="2"/>
            <w:tcBorders>
              <w:bottom w:val="single" w:color="000000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单位：万元</w:t>
            </w:r>
          </w:p>
        </w:tc>
      </w:tr>
      <w:tr>
        <w:trPr>
          <w:trHeight w:hRule="atleast" w:val="402"/>
          <w:hidden w:val="0"/>
        </w:trPr>
        <w:tc>
          <w:tcPr>
            <w:tcW w:type="dxa" w:w="3358"/>
            <w:vAlign w:val="center"/>
            <w:gridSpan w:val="3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部门预算经济分类</w:t>
            </w:r>
          </w:p>
        </w:tc>
        <w:tc>
          <w:tcPr>
            <w:tcW w:type="dxa" w:w="2102"/>
            <w:vAlign w:val="center"/>
            <w:gridSpan w:val="3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政府预算经济分类</w:t>
            </w:r>
          </w:p>
        </w:tc>
        <w:tc>
          <w:tcPr>
            <w:tcW w:type="dxa" w:w="9326"/>
            <w:vAlign w:val="center"/>
            <w:gridSpan w:val="19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2019年</w:t>
            </w:r>
          </w:p>
        </w:tc>
      </w:tr>
      <w:tr>
        <w:trPr>
          <w:trHeight w:hRule="atleast" w:val="402"/>
          <w:hidden w:val="0"/>
        </w:trPr>
        <w:tc>
          <w:tcPr>
            <w:tcW w:type="dxa" w:w="3358"/>
            <w:vAlign w:val="center"/>
            <w:gridSpan w:val="3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102"/>
            <w:vAlign w:val="center"/>
            <w:gridSpan w:val="3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804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合计</w:t>
            </w:r>
          </w:p>
        </w:tc>
        <w:tc>
          <w:tcPr>
            <w:tcW w:type="dxa" w:w="1550"/>
            <w:vAlign w:val="center"/>
            <w:gridSpan w:val="4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财政拨款</w:t>
            </w:r>
          </w:p>
        </w:tc>
        <w:tc>
          <w:tcPr>
            <w:tcW w:type="dxa" w:w="4840"/>
            <w:vAlign w:val="center"/>
            <w:gridSpan w:val="11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非税收入</w:t>
            </w:r>
          </w:p>
        </w:tc>
        <w:tc>
          <w:tcPr>
            <w:tcW w:type="dxa" w:w="934"/>
            <w:vAlign w:val="center"/>
            <w:gridSpan w:val="2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上级专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项转移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支付</w:t>
            </w:r>
          </w:p>
        </w:tc>
        <w:tc>
          <w:tcPr>
            <w:tcW w:type="dxa" w:w="1198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上年一般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公共预算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结转</w:t>
            </w:r>
          </w:p>
        </w:tc>
      </w:tr>
      <w:tr>
        <w:trPr>
          <w:trHeight w:hRule="atleast" w:val="402"/>
          <w:hidden w:val="0"/>
        </w:trPr>
        <w:tc>
          <w:tcPr>
            <w:tcW w:type="dxa" w:w="3358"/>
            <w:vAlign w:val="center"/>
            <w:gridSpan w:val="3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2102"/>
            <w:vAlign w:val="center"/>
            <w:gridSpan w:val="3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804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550"/>
            <w:vAlign w:val="center"/>
            <w:gridSpan w:val="4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718"/>
            <w:vAlign w:val="center"/>
            <w:gridSpan w:val="2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小计</w:t>
            </w:r>
          </w:p>
        </w:tc>
        <w:tc>
          <w:tcPr>
            <w:tcW w:type="dxa" w:w="497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专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项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收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入</w:t>
            </w:r>
          </w:p>
        </w:tc>
        <w:tc>
          <w:tcPr>
            <w:tcW w:type="dxa" w:w="955"/>
            <w:vAlign w:val="center"/>
            <w:gridSpan w:val="2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行政事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业性收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费</w:t>
            </w:r>
          </w:p>
        </w:tc>
        <w:tc>
          <w:tcPr>
            <w:tcW w:type="dxa" w:w="659"/>
            <w:vAlign w:val="center"/>
            <w:gridSpan w:val="2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罚没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收入</w:t>
            </w:r>
          </w:p>
        </w:tc>
        <w:tc>
          <w:tcPr>
            <w:tcW w:type="dxa" w:w="1210"/>
            <w:vAlign w:val="center"/>
            <w:gridSpan w:val="2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国有资源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资产有偿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使用收入</w:t>
            </w:r>
          </w:p>
        </w:tc>
        <w:tc>
          <w:tcPr>
            <w:tcW w:type="dxa" w:w="801"/>
            <w:vAlign w:val="center"/>
            <w:gridSpan w:val="2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其他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非税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收入</w:t>
            </w:r>
          </w:p>
        </w:tc>
        <w:tc>
          <w:tcPr>
            <w:tcW w:type="dxa" w:w="934"/>
            <w:vAlign w:val="center"/>
            <w:gridSpan w:val="2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198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</w:tr>
      <w:tr>
        <w:trPr>
          <w:trHeight w:hRule="atleast" w:val="465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类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款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科目名称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类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款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科目名称</w:t>
            </w:r>
          </w:p>
        </w:tc>
        <w:tc>
          <w:tcPr>
            <w:tcW w:type="dxa" w:w="804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本级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财力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一般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转移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支付</w:t>
            </w:r>
          </w:p>
        </w:tc>
        <w:tc>
          <w:tcPr>
            <w:tcW w:type="dxa" w:w="718"/>
            <w:vAlign w:val="center"/>
            <w:gridSpan w:val="2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497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55"/>
            <w:vAlign w:val="center"/>
            <w:gridSpan w:val="2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659"/>
            <w:vAlign w:val="center"/>
            <w:gridSpan w:val="2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210"/>
            <w:vAlign w:val="center"/>
            <w:gridSpan w:val="2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801"/>
            <w:vAlign w:val="center"/>
            <w:gridSpan w:val="2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934"/>
            <w:vAlign w:val="center"/>
            <w:gridSpan w:val="2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  <w:tc>
          <w:tcPr>
            <w:tcW w:type="dxa" w:w="1198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/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合计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223.7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4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208.7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4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15.00 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15.00 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焦作市中级人民法院机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关后勤服务中心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223.7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4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208.7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4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15.00 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15.00 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30%奖励性绩效工资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14.50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14.50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301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07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绩效工资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1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工资福利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支出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14.50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14.50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70%基础性绩效工资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24.47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24.47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301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07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绩效工资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1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工资福利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支出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24.47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24.47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福利费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2.36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2.36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302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29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福利费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2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商品和服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务支出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2.36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2.36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工会经费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1.89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1.89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302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28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工会经费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2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商品和服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务支出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1.89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1.89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工伤保险费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0.19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0.19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301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12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其他社会保障性缴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费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1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工资福利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支出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0.19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0.19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公务员医疗补助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5.66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5.66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301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11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公务员医疗补助缴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费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1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工资福利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支出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5.66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5.66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国家保留津贴(事业)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0.86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0.86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301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02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津贴补贴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1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工资福利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支出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0.86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0.86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年度目标考核奖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11.94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11.94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301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03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奖金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1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工资福利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支出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11.94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11.94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其他特岗津贴补贴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1.15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1.15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301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02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津贴补贴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1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工资福利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支出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1.15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1.15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生育保险费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0.47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0.47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301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12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其他社会保障性缴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费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1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工资福利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支出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0.47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0.47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失业保险金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0.66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0.66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301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12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其他社会保障性缴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费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1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工资福利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支出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0.66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0.66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事业人员及事业技术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工人年基本工资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48.10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48.10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301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01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基本工资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1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工资福利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支出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48.10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48.10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养老保险金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301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08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机关事业单位基本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养老保险费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1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工资福利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支出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18.88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医疗保险金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6.61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6.61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301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10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城镇职工基本医疗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保险缴费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1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工资福利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支出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6.61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6.61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月度目标考核奖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27.65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27.65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301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03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奖金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1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工资福利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支出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27.65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27.65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在职人员采暖补贴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2.79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2.79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301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02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津贴补贴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1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工资福利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支出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2.79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2.79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在职人员定额公用经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费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18.24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3.24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15.00 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15.00 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302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01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办公费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2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商品和服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务支出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1.00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1.00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302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02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印刷费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2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商品和服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务支出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0.30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0.30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302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11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差旅费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2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商品和服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务支出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0.20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0.20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302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16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培训费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2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商品和服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务支出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0.20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0.20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302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26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劳务费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2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商品和服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务支出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15.00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15.00 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15.00 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302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29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福利费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2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商品和服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务支出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0.14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0.14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302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39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其他交通费用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2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商品和服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务支出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0.50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0.50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302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99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其他商品和服务支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出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2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商品和服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务支出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0.40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0.40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310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07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信息网络及软件购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置更新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6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1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资本性支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出（一）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0.50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0.50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在职人员公用经费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（培训费）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302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16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培训费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2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商品和服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务支出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0.72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在职人员文明奖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21.60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21.60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301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02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津贴补贴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1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工资福利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支出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21.60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21.60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在职人员物业服务补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贴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3.67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3.67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301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02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津贴补贴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1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工资福利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支出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3.67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3.67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住房公积金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02"/>
          <w:hidden w:val="0"/>
        </w:trPr>
        <w:tc>
          <w:tcPr>
            <w:tcW w:type="dxa" w:w="5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301</w:t>
            </w:r>
          </w:p>
        </w:tc>
        <w:tc>
          <w:tcPr>
            <w:tcW w:type="dxa" w:w="423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13</w:t>
            </w:r>
          </w:p>
        </w:tc>
        <w:tc>
          <w:tcPr>
            <w:tcW w:type="dxa" w:w="239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住房公积金</w:t>
            </w:r>
          </w:p>
        </w:tc>
        <w:tc>
          <w:tcPr>
            <w:tcW w:type="dxa" w:w="506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411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0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1</w:t>
            </w:r>
          </w:p>
        </w:tc>
        <w:tc>
          <w:tcPr>
            <w:tcW w:type="dxa" w:w="1185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工资福利</w:t>
            </w: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支出</w:t>
            </w:r>
          </w:p>
        </w:tc>
        <w:tc>
          <w:tcPr>
            <w:tcW w:type="dxa" w:w="804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80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11.33 </w:t>
            </w:r>
          </w:p>
        </w:tc>
        <w:tc>
          <w:tcPr>
            <w:tcW w:type="dxa" w:w="7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718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97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659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210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801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934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198"/>
            <w:vAlign w:val="center"/>
            <w:tcBorders>
              <w:bottom w:val="single" w:color="auto" w:sz="4"/>
              <w:left w:val="nil" w:color="auto"/>
              <w:right w:val="single" w:color="000000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</w:tbl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left="-569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160"/>
        <w:pageBreakBefore w:val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14786" w:type="dxa"/>
        <w:tblLook w:val="000000" w:firstRow="0" w:lastRow="0" w:firstColumn="0" w:lastColumn="0" w:noHBand="0" w:noVBand="0"/>
        <w:tblLayout w:type="fixed"/>
      </w:tblPr>
      <w:tblGrid>
        <w:gridCol w:w="7071"/>
        <w:gridCol w:w="7715"/>
      </w:tblGrid>
      <w:tr>
        <w:trPr>
          <w:trHeight w:hRule="atleast" w:val="840"/>
          <w:hidden w:val="0"/>
        </w:trPr>
        <w:tc>
          <w:tcPr>
            <w:tcW w:type="dxa" w:w="14786"/>
            <w:vAlign w:val="center"/>
            <w:gridSpan w:val="2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tabs>
                <w:tab w:val="left" w:pos="290"/>
              </w:tabs>
              <w:rPr>
                <w:b w:val="1"/>
                <w:color w:val="auto"/>
                <w:position w:val="0"/>
                <w:sz w:val="40"/>
                <w:szCs w:val="40"/>
                <w:rFonts w:ascii="宋体" w:eastAsia="宋体" w:hAnsi="宋体" w:hint="default"/>
              </w:rPr>
              <w:autoSpaceDE w:val="1"/>
              <w:autoSpaceDN w:val="1"/>
            </w:pPr>
            <w:bookmarkStart w:id="6" w:name="RANGE!A1:B9"/>
            <w:r>
              <w:rPr>
                <w:b w:val="1"/>
                <w:color w:val="auto"/>
                <w:position w:val="0"/>
                <w:sz w:val="40"/>
                <w:szCs w:val="40"/>
                <w:rFonts w:ascii="宋体" w:eastAsia="宋体" w:hAnsi="宋体" w:hint="default"/>
              </w:rPr>
              <w:t>2019年一般公共预算“三公”经费支出情况表</w:t>
            </w:r>
            <w:bookmarkEnd w:id="6"/>
          </w:p>
        </w:tc>
      </w:tr>
      <w:tr>
        <w:trPr>
          <w:trHeight w:hRule="atleast" w:val="375"/>
          <w:hidden w:val="0"/>
        </w:trPr>
        <w:tc>
          <w:tcPr>
            <w:tcW w:type="dxa" w:w="7071"/>
            <w:vAlign w:val="center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单位名称：焦作市中级人民法院机关后勤服务中心</w:t>
            </w:r>
          </w:p>
        </w:tc>
        <w:tc>
          <w:tcPr>
            <w:tcW w:type="dxa" w:w="7715"/>
            <w:vAlign w:val="center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单位：万元</w:t>
            </w:r>
          </w:p>
        </w:tc>
      </w:tr>
      <w:tr>
        <w:trPr>
          <w:trHeight w:hRule="atleast" w:val="600"/>
          <w:hidden w:val="0"/>
        </w:trPr>
        <w:tc>
          <w:tcPr>
            <w:tcW w:type="dxa" w:w="707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项      目</w:t>
            </w:r>
          </w:p>
        </w:tc>
        <w:tc>
          <w:tcPr>
            <w:tcW w:type="dxa" w:w="7715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2019年“三公”经费预算数</w:t>
            </w:r>
          </w:p>
        </w:tc>
      </w:tr>
      <w:tr>
        <w:trPr>
          <w:trHeight w:hRule="atleast" w:val="600"/>
          <w:hidden w:val="0"/>
        </w:trPr>
        <w:tc>
          <w:tcPr>
            <w:tcW w:type="dxa" w:w="707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共计</w:t>
            </w:r>
          </w:p>
        </w:tc>
        <w:tc>
          <w:tcPr>
            <w:tcW w:type="dxa" w:w="771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600"/>
          <w:hidden w:val="0"/>
        </w:trPr>
        <w:tc>
          <w:tcPr>
            <w:tcW w:type="dxa" w:w="707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1、因公出国（境）费用</w:t>
            </w:r>
          </w:p>
        </w:tc>
        <w:tc>
          <w:tcPr>
            <w:tcW w:type="dxa" w:w="771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600"/>
          <w:hidden w:val="0"/>
        </w:trPr>
        <w:tc>
          <w:tcPr>
            <w:tcW w:type="dxa" w:w="707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2、公务接待费</w:t>
            </w:r>
          </w:p>
        </w:tc>
        <w:tc>
          <w:tcPr>
            <w:tcW w:type="dxa" w:w="771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600"/>
          <w:hidden w:val="0"/>
        </w:trPr>
        <w:tc>
          <w:tcPr>
            <w:tcW w:type="dxa" w:w="707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3、公务用车费</w:t>
            </w:r>
          </w:p>
        </w:tc>
        <w:tc>
          <w:tcPr>
            <w:tcW w:type="dxa" w:w="771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600"/>
          <w:hidden w:val="0"/>
        </w:trPr>
        <w:tc>
          <w:tcPr>
            <w:tcW w:type="dxa" w:w="707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其中：（1）公务用车运行维护费</w:t>
            </w:r>
          </w:p>
        </w:tc>
        <w:tc>
          <w:tcPr>
            <w:tcW w:type="dxa" w:w="771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600"/>
          <w:hidden w:val="0"/>
        </w:trPr>
        <w:tc>
          <w:tcPr>
            <w:tcW w:type="dxa" w:w="7071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（2）公务用车购置</w:t>
            </w:r>
          </w:p>
        </w:tc>
        <w:tc>
          <w:tcPr>
            <w:tcW w:type="dxa" w:w="771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600"/>
          <w:hidden w:val="0"/>
        </w:trPr>
        <w:tc>
          <w:tcPr>
            <w:tcW w:type="dxa" w:w="7071"/>
            <w:vAlign w:val="center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7715"/>
            <w:vAlign w:val="center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2292"/>
          <w:hidden w:val="0"/>
        </w:trPr>
        <w:tc>
          <w:tcPr>
            <w:tcW w:type="dxa" w:w="14786"/>
            <w:vAlign w:val="center"/>
            <w:gridSpan w:val="2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注：按照党中央、国务院有关规定及部门预算管理有关规定，“三公”经费包括因公出国（境）费、公务用车购置及运行费和公务接待费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。（1）因公出国（境）费，指单位工作人员公务出国（境）的住宿费、旅费、伙食补助费、杂费、培训费等支出。（2）公务用车购置及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运行费，指单位公务用车购置费及租用费、燃料费、维修费、过路过桥费、保险费、安全奖励费用等支出，公务用车指用于履行公务的机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动车辆，包括领导干部专车、一般公务用车和执法执勤用车。（3）公务接待费，指单位按规定开支的各类公务接待（含外宾接待）支出。</w:t>
            </w:r>
          </w:p>
        </w:tc>
      </w:tr>
    </w:tbl>
    <w:p>
      <w:pPr>
        <w:bidi w:val="0"/>
        <w:numPr>
          <w:ilvl w:val="0"/>
          <w:numId w:val="0"/>
        </w:numPr>
        <w:jc w:val="both"/>
        <w:spacing w:lineRule="auto" w:line="240" w:before="0" w:after="160"/>
        <w:pageBreakBefore w:val="0"/>
        <w:ind w:right="0" w:firstLine="0"/>
        <w:tabs>
          <w:tab w:val="left" w:pos="3216"/>
        </w:tabs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160"/>
        <w:pageBreakBefore w:val="0"/>
        <w:ind w:right="0" w:firstLine="0"/>
        <w:tabs>
          <w:tab w:val="left" w:pos="3216"/>
        </w:tabs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160"/>
        <w:pageBreakBefore w:val="0"/>
        <w:ind w:right="0" w:firstLine="0"/>
        <w:tabs>
          <w:tab w:val="left" w:pos="3216"/>
        </w:tabs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160"/>
        <w:pageBreakBefore w:val="0"/>
        <w:ind w:right="0" w:firstLine="0"/>
        <w:tabs>
          <w:tab w:val="left" w:pos="3216"/>
        </w:tabs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14786" w:type="dxa"/>
        <w:tblLook w:val="000000" w:firstRow="0" w:lastRow="0" w:firstColumn="0" w:lastColumn="0" w:noHBand="0" w:noVBand="0"/>
        <w:tblLayout w:type="fixed"/>
      </w:tblPr>
      <w:tblGrid>
        <w:gridCol w:w="435"/>
        <w:gridCol w:w="434"/>
        <w:gridCol w:w="435"/>
        <w:gridCol w:w="3506"/>
        <w:gridCol w:w="1371"/>
        <w:gridCol w:w="1317"/>
        <w:gridCol w:w="1"/>
        <w:gridCol w:w="1317"/>
        <w:gridCol w:w="1"/>
        <w:gridCol w:w="1317"/>
        <w:gridCol w:w="1"/>
        <w:gridCol w:w="1317"/>
        <w:gridCol w:w="1"/>
        <w:gridCol w:w="1317"/>
        <w:gridCol w:w="1"/>
        <w:gridCol w:w="2015"/>
      </w:tblGrid>
      <w:tr>
        <w:trPr>
          <w:trHeight w:hRule="atleast" w:val="840"/>
          <w:hidden w:val="0"/>
        </w:trPr>
        <w:tc>
          <w:tcPr>
            <w:tcW w:type="dxa" w:w="14786"/>
            <w:vAlign w:val="center"/>
            <w:gridSpan w:val="16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40"/>
                <w:szCs w:val="40"/>
                <w:rFonts w:ascii="宋体" w:eastAsia="宋体" w:hAnsi="宋体" w:hint="default"/>
              </w:rPr>
              <w:autoSpaceDE w:val="1"/>
              <w:autoSpaceDN w:val="1"/>
            </w:pPr>
            <w:bookmarkStart w:id="7" w:name="RANGE!A1:K6"/>
            <w:r>
              <w:rPr>
                <w:b w:val="1"/>
                <w:color w:val="auto"/>
                <w:position w:val="0"/>
                <w:sz w:val="40"/>
                <w:szCs w:val="40"/>
                <w:rFonts w:ascii="宋体" w:eastAsia="宋体" w:hAnsi="宋体" w:hint="default"/>
              </w:rPr>
              <w:t>2019年部门政府性基金支出情况表</w:t>
            </w:r>
            <w:bookmarkEnd w:id="7"/>
          </w:p>
        </w:tc>
      </w:tr>
      <w:tr>
        <w:trPr>
          <w:trHeight w:hRule="atleast" w:val="402"/>
          <w:hidden w:val="0"/>
        </w:trPr>
        <w:tc>
          <w:tcPr>
            <w:tcW w:type="dxa" w:w="4810"/>
            <w:vAlign w:val="center"/>
            <w:gridSpan w:val="4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单位名称：焦作市中级人民法院机关后勤服务中心</w:t>
            </w:r>
          </w:p>
        </w:tc>
        <w:tc>
          <w:tcPr>
            <w:tcW w:type="dxa" w:w="1371"/>
            <w:vAlign w:val="center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317"/>
            <w:vAlign w:val="center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18"/>
            <w:vAlign w:val="center"/>
            <w:gridSpan w:val="2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18"/>
            <w:vAlign w:val="center"/>
            <w:gridSpan w:val="2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18"/>
            <w:vAlign w:val="center"/>
            <w:gridSpan w:val="2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18"/>
            <w:vAlign w:val="center"/>
            <w:gridSpan w:val="2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016"/>
            <w:vAlign w:val="center"/>
            <w:gridSpan w:val="2"/>
            <w:tcBorders>
              <w:bottom w:val="single" w:color="auto" w:sz="4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单位：万元</w:t>
            </w:r>
          </w:p>
        </w:tc>
      </w:tr>
      <w:tr>
        <w:trPr>
          <w:trHeight w:hRule="atleast" w:val="330"/>
          <w:hidden w:val="0"/>
        </w:trPr>
        <w:tc>
          <w:tcPr>
            <w:tcW w:type="dxa" w:w="1304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000000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科目编码</w:t>
            </w:r>
          </w:p>
        </w:tc>
        <w:tc>
          <w:tcPr>
            <w:tcW w:type="dxa" w:w="3506"/>
            <w:vAlign w:val="center"/>
            <w:vMerge w:val="restart"/>
            <w:tcBorders>
              <w:bottom w:val="single" w:color="000000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科目名称</w:t>
            </w:r>
          </w:p>
        </w:tc>
        <w:tc>
          <w:tcPr>
            <w:tcW w:type="dxa" w:w="1371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总计</w:t>
            </w:r>
          </w:p>
        </w:tc>
        <w:tc>
          <w:tcPr>
            <w:tcW w:type="dxa" w:w="8605"/>
            <w:vAlign w:val="center"/>
            <w:gridSpan w:val="11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2019年</w:t>
            </w:r>
          </w:p>
        </w:tc>
      </w:tr>
      <w:tr>
        <w:trPr>
          <w:trHeight w:hRule="atleast" w:val="285"/>
          <w:hidden w:val="0"/>
        </w:trPr>
        <w:tc>
          <w:tcPr>
            <w:tcW w:type="dxa" w:w="435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类</w:t>
            </w:r>
          </w:p>
        </w:tc>
        <w:tc>
          <w:tcPr>
            <w:tcW w:type="dxa" w:w="434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款</w:t>
            </w:r>
          </w:p>
        </w:tc>
        <w:tc>
          <w:tcPr>
            <w:tcW w:type="dxa" w:w="435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项</w:t>
            </w:r>
          </w:p>
        </w:tc>
        <w:tc>
          <w:tcPr>
            <w:tcW w:type="dxa" w:w="3506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/>
        </w:tc>
        <w:tc>
          <w:tcPr>
            <w:tcW w:type="dxa" w:w="137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/>
        </w:tc>
        <w:tc>
          <w:tcPr>
            <w:tcW w:type="dxa" w:w="3954"/>
            <w:vAlign w:val="center"/>
            <w:gridSpan w:val="6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基本支出</w:t>
            </w:r>
          </w:p>
        </w:tc>
        <w:tc>
          <w:tcPr>
            <w:tcW w:type="dxa" w:w="4651"/>
            <w:vAlign w:val="center"/>
            <w:gridSpan w:val="5"/>
            <w:tcBorders>
              <w:bottom w:val="single" w:color="auto" w:sz="4"/>
              <w:left w:val="nil" w:color="auto"/>
              <w:right w:val="single" w:color="000000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项目支出</w:t>
            </w:r>
          </w:p>
        </w:tc>
      </w:tr>
      <w:tr>
        <w:trPr>
          <w:trHeight w:hRule="atleast" w:val="750"/>
          <w:hidden w:val="0"/>
        </w:trPr>
        <w:tc>
          <w:tcPr>
            <w:tcW w:type="dxa" w:w="435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434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435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3506"/>
            <w:vAlign w:val="center"/>
            <w:vMerge/>
            <w:tcBorders>
              <w:bottom w:val="single" w:color="000000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/>
        </w:tc>
        <w:tc>
          <w:tcPr>
            <w:tcW w:type="dxa" w:w="137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/>
        </w:tc>
        <w:tc>
          <w:tcPr>
            <w:tcW w:type="dxa" w:w="1318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小计</w:t>
            </w:r>
          </w:p>
        </w:tc>
        <w:tc>
          <w:tcPr>
            <w:tcW w:type="dxa" w:w="1318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人员经费支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出</w:t>
            </w:r>
          </w:p>
        </w:tc>
        <w:tc>
          <w:tcPr>
            <w:tcW w:type="dxa" w:w="1318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公用经费支</w:t>
            </w: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出</w:t>
            </w:r>
          </w:p>
        </w:tc>
        <w:tc>
          <w:tcPr>
            <w:tcW w:type="dxa" w:w="1318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小计</w:t>
            </w:r>
          </w:p>
        </w:tc>
        <w:tc>
          <w:tcPr>
            <w:tcW w:type="dxa" w:w="1318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部门支出</w:t>
            </w:r>
          </w:p>
        </w:tc>
        <w:tc>
          <w:tcPr>
            <w:tcW w:type="dxa" w:w="201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专项支出</w:t>
            </w:r>
          </w:p>
        </w:tc>
      </w:tr>
      <w:tr>
        <w:trPr>
          <w:trHeight w:hRule="atleast" w:val="402"/>
          <w:hidden w:val="0"/>
        </w:trPr>
        <w:tc>
          <w:tcPr>
            <w:tcW w:type="dxa" w:w="43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**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**</w:t>
            </w:r>
          </w:p>
        </w:tc>
        <w:tc>
          <w:tcPr>
            <w:tcW w:type="dxa" w:w="43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**</w:t>
            </w:r>
          </w:p>
        </w:tc>
        <w:tc>
          <w:tcPr>
            <w:tcW w:type="dxa" w:w="35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**</w:t>
            </w:r>
          </w:p>
        </w:tc>
        <w:tc>
          <w:tcPr>
            <w:tcW w:type="dxa" w:w="137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</w:t>
            </w:r>
          </w:p>
        </w:tc>
        <w:tc>
          <w:tcPr>
            <w:tcW w:type="dxa" w:w="1318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2</w:t>
            </w:r>
          </w:p>
        </w:tc>
        <w:tc>
          <w:tcPr>
            <w:tcW w:type="dxa" w:w="1318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3</w:t>
            </w:r>
          </w:p>
        </w:tc>
        <w:tc>
          <w:tcPr>
            <w:tcW w:type="dxa" w:w="1318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4</w:t>
            </w:r>
          </w:p>
        </w:tc>
        <w:tc>
          <w:tcPr>
            <w:tcW w:type="dxa" w:w="1318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5</w:t>
            </w:r>
          </w:p>
        </w:tc>
        <w:tc>
          <w:tcPr>
            <w:tcW w:type="dxa" w:w="1318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6</w:t>
            </w:r>
          </w:p>
        </w:tc>
        <w:tc>
          <w:tcPr>
            <w:tcW w:type="dxa" w:w="201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7</w:t>
            </w:r>
          </w:p>
        </w:tc>
      </w:tr>
      <w:tr>
        <w:trPr>
          <w:trHeight w:hRule="atleast" w:val="402"/>
          <w:hidden w:val="0"/>
        </w:trPr>
        <w:tc>
          <w:tcPr>
            <w:tcW w:type="dxa" w:w="43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4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3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35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71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18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18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18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18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1318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2015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285"/>
          <w:hidden w:val="0"/>
        </w:trPr>
        <w:tc>
          <w:tcPr>
            <w:tcW w:type="dxa" w:w="435"/>
            <w:vAlign w:val="bottom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434"/>
            <w:vAlign w:val="bottom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435"/>
            <w:vAlign w:val="bottom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506"/>
            <w:vAlign w:val="bottom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371"/>
            <w:vAlign w:val="bottom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318"/>
            <w:vAlign w:val="bottom"/>
            <w:gridSpan w:val="2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318"/>
            <w:vAlign w:val="bottom"/>
            <w:gridSpan w:val="2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318"/>
            <w:vAlign w:val="bottom"/>
            <w:gridSpan w:val="2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318"/>
            <w:vAlign w:val="bottom"/>
            <w:gridSpan w:val="2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318"/>
            <w:vAlign w:val="bottom"/>
            <w:gridSpan w:val="2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015"/>
            <w:vAlign w:val="bottom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</w:tbl>
    <w:p>
      <w:pPr>
        <w:bidi w:val="0"/>
        <w:numPr>
          <w:ilvl w:val="0"/>
          <w:numId w:val="0"/>
        </w:numPr>
        <w:jc w:val="both"/>
        <w:spacing w:lineRule="auto" w:line="240" w:before="0" w:after="160"/>
        <w:pageBreakBefore w:val="0"/>
        <w:ind w:right="0" w:firstLine="0"/>
        <w:tabs>
          <w:tab w:val="left" w:pos="3216"/>
        </w:tabs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ab/>
      </w:r>
    </w:p>
    <w:p>
      <w:pPr>
        <w:bidi w:val="0"/>
        <w:numPr>
          <w:ilvl w:val="0"/>
          <w:numId w:val="0"/>
        </w:numPr>
        <w:jc w:val="both"/>
        <w:spacing w:lineRule="auto" w:line="240" w:before="0" w:after="160"/>
        <w:pageBreakBefore w:val="0"/>
        <w:ind w:right="0" w:firstLine="0"/>
        <w:tabs>
          <w:tab w:val="left" w:pos="3216"/>
        </w:tabs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160"/>
        <w:pageBreakBefore w:val="0"/>
        <w:ind w:right="0" w:firstLine="0"/>
        <w:tabs>
          <w:tab w:val="left" w:pos="3216"/>
        </w:tabs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160"/>
        <w:pageBreakBefore w:val="0"/>
        <w:ind w:right="0" w:firstLine="0"/>
        <w:tabs>
          <w:tab w:val="left" w:pos="3216"/>
        </w:tabs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160"/>
        <w:pageBreakBefore w:val="0"/>
        <w:ind w:right="0" w:firstLine="0"/>
        <w:tabs>
          <w:tab w:val="left" w:pos="3216"/>
        </w:tabs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160"/>
        <w:pageBreakBefore w:val="0"/>
        <w:ind w:right="0" w:firstLine="0"/>
        <w:tabs>
          <w:tab w:val="left" w:pos="3216"/>
        </w:tabs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160"/>
        <w:pageBreakBefore w:val="0"/>
        <w:ind w:right="0" w:firstLine="0"/>
        <w:tabs>
          <w:tab w:val="left" w:pos="3216"/>
        </w:tabs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160"/>
        <w:pageBreakBefore w:val="0"/>
        <w:ind w:right="0" w:firstLine="0"/>
        <w:tabs>
          <w:tab w:val="left" w:pos="3216"/>
        </w:tabs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160"/>
        <w:pageBreakBefore w:val="0"/>
        <w:ind w:right="0" w:firstLine="0"/>
        <w:tabs>
          <w:tab w:val="left" w:pos="3216"/>
        </w:tabs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14786" w:type="dxa"/>
        <w:tblLook w:val="000000" w:firstRow="0" w:lastRow="0" w:firstColumn="0" w:lastColumn="0" w:noHBand="0" w:noVBand="0"/>
        <w:tblLayout w:type="fixed"/>
      </w:tblPr>
      <w:tblGrid>
        <w:gridCol w:w="4624"/>
        <w:gridCol w:w="2313"/>
        <w:gridCol w:w="5536"/>
        <w:gridCol w:w="2313"/>
      </w:tblGrid>
      <w:tr>
        <w:trPr>
          <w:trHeight w:hRule="atleast" w:val="840"/>
          <w:hidden w:val="0"/>
        </w:trPr>
        <w:tc>
          <w:tcPr>
            <w:tcW w:type="dxa" w:w="14786"/>
            <w:vAlign w:val="center"/>
            <w:gridSpan w:val="4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40"/>
                <w:szCs w:val="40"/>
                <w:rFonts w:ascii="宋体" w:eastAsia="宋体" w:hAnsi="宋体" w:hint="default"/>
              </w:rPr>
              <w:autoSpaceDE w:val="1"/>
              <w:autoSpaceDN w:val="1"/>
            </w:pPr>
            <w:bookmarkStart w:id="8" w:name="RANGE!A1:D14"/>
            <w:r>
              <w:rPr>
                <w:b w:val="1"/>
                <w:color w:val="auto"/>
                <w:position w:val="0"/>
                <w:sz w:val="40"/>
                <w:szCs w:val="40"/>
                <w:rFonts w:ascii="宋体" w:eastAsia="宋体" w:hAnsi="宋体" w:hint="default"/>
              </w:rPr>
              <w:t>2019年国有资本经营预算收支表</w:t>
            </w:r>
            <w:bookmarkEnd w:id="8"/>
          </w:p>
        </w:tc>
      </w:tr>
      <w:tr>
        <w:trPr>
          <w:trHeight w:hRule="atleast" w:val="345"/>
          <w:hidden w:val="0"/>
        </w:trPr>
        <w:tc>
          <w:tcPr>
            <w:tcW w:type="dxa" w:w="6937"/>
            <w:vAlign w:val="center"/>
            <w:gridSpan w:val="2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单位名称：焦作市中级人民法院机关后勤服务中心</w:t>
            </w:r>
          </w:p>
        </w:tc>
        <w:tc>
          <w:tcPr>
            <w:tcW w:type="dxa" w:w="5536"/>
            <w:vAlign w:val="center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313"/>
            <w:vAlign w:val="center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单位：万元</w:t>
            </w:r>
          </w:p>
        </w:tc>
      </w:tr>
      <w:tr>
        <w:trPr>
          <w:trHeight w:hRule="atleast" w:val="420"/>
          <w:hidden w:val="0"/>
        </w:trPr>
        <w:tc>
          <w:tcPr>
            <w:tcW w:type="dxa" w:w="46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项  目</w:t>
            </w:r>
          </w:p>
        </w:tc>
        <w:tc>
          <w:tcPr>
            <w:tcW w:type="dxa" w:w="2313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收入预算数</w:t>
            </w:r>
          </w:p>
        </w:tc>
        <w:tc>
          <w:tcPr>
            <w:tcW w:type="dxa" w:w="5536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项  目</w:t>
            </w:r>
          </w:p>
        </w:tc>
        <w:tc>
          <w:tcPr>
            <w:tcW w:type="dxa" w:w="2313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支出预算数</w:t>
            </w:r>
          </w:p>
        </w:tc>
      </w:tr>
      <w:tr>
        <w:trPr>
          <w:trHeight w:hRule="atleast" w:val="420"/>
          <w:hidden w:val="0"/>
        </w:trPr>
        <w:tc>
          <w:tcPr>
            <w:tcW w:type="dxa" w:w="46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利润收入</w:t>
            </w:r>
          </w:p>
        </w:tc>
        <w:tc>
          <w:tcPr>
            <w:tcW w:type="dxa" w:w="231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　</w:t>
            </w:r>
          </w:p>
        </w:tc>
        <w:tc>
          <w:tcPr>
            <w:tcW w:type="dxa" w:w="553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解决历史遗留问题及改革成本支出</w:t>
            </w:r>
          </w:p>
        </w:tc>
        <w:tc>
          <w:tcPr>
            <w:tcW w:type="dxa" w:w="231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20"/>
          <w:hidden w:val="0"/>
        </w:trPr>
        <w:tc>
          <w:tcPr>
            <w:tcW w:type="dxa" w:w="46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股利、股息收入</w:t>
            </w:r>
          </w:p>
        </w:tc>
        <w:tc>
          <w:tcPr>
            <w:tcW w:type="dxa" w:w="231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　</w:t>
            </w:r>
          </w:p>
        </w:tc>
        <w:tc>
          <w:tcPr>
            <w:tcW w:type="dxa" w:w="553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国有企业资本金注入</w:t>
            </w:r>
          </w:p>
        </w:tc>
        <w:tc>
          <w:tcPr>
            <w:tcW w:type="dxa" w:w="231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20"/>
          <w:hidden w:val="0"/>
        </w:trPr>
        <w:tc>
          <w:tcPr>
            <w:tcW w:type="dxa" w:w="46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产权转让收入</w:t>
            </w:r>
          </w:p>
        </w:tc>
        <w:tc>
          <w:tcPr>
            <w:tcW w:type="dxa" w:w="231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　</w:t>
            </w:r>
          </w:p>
        </w:tc>
        <w:tc>
          <w:tcPr>
            <w:tcW w:type="dxa" w:w="553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国有企业政策性补贴</w:t>
            </w:r>
          </w:p>
        </w:tc>
        <w:tc>
          <w:tcPr>
            <w:tcW w:type="dxa" w:w="231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20"/>
          <w:hidden w:val="0"/>
        </w:trPr>
        <w:tc>
          <w:tcPr>
            <w:tcW w:type="dxa" w:w="46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清算收入</w:t>
            </w:r>
          </w:p>
        </w:tc>
        <w:tc>
          <w:tcPr>
            <w:tcW w:type="dxa" w:w="231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　</w:t>
            </w:r>
          </w:p>
        </w:tc>
        <w:tc>
          <w:tcPr>
            <w:tcW w:type="dxa" w:w="553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金融国有资本经营预算支出</w:t>
            </w:r>
          </w:p>
        </w:tc>
        <w:tc>
          <w:tcPr>
            <w:tcW w:type="dxa" w:w="231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20"/>
          <w:hidden w:val="0"/>
        </w:trPr>
        <w:tc>
          <w:tcPr>
            <w:tcW w:type="dxa" w:w="46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其他国有资本经营预算收入</w:t>
            </w:r>
          </w:p>
        </w:tc>
        <w:tc>
          <w:tcPr>
            <w:tcW w:type="dxa" w:w="231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　</w:t>
            </w:r>
          </w:p>
        </w:tc>
        <w:tc>
          <w:tcPr>
            <w:tcW w:type="dxa" w:w="553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其他国有资本经营预算支出</w:t>
            </w:r>
          </w:p>
        </w:tc>
        <w:tc>
          <w:tcPr>
            <w:tcW w:type="dxa" w:w="231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20"/>
          <w:hidden w:val="0"/>
        </w:trPr>
        <w:tc>
          <w:tcPr>
            <w:tcW w:type="dxa" w:w="46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　</w:t>
            </w:r>
          </w:p>
        </w:tc>
        <w:tc>
          <w:tcPr>
            <w:tcW w:type="dxa" w:w="231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　</w:t>
            </w:r>
          </w:p>
        </w:tc>
        <w:tc>
          <w:tcPr>
            <w:tcW w:type="dxa" w:w="553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　</w:t>
            </w:r>
          </w:p>
        </w:tc>
        <w:tc>
          <w:tcPr>
            <w:tcW w:type="dxa" w:w="231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20"/>
          <w:hidden w:val="0"/>
        </w:trPr>
        <w:tc>
          <w:tcPr>
            <w:tcW w:type="dxa" w:w="46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本年收入合计</w:t>
            </w:r>
          </w:p>
        </w:tc>
        <w:tc>
          <w:tcPr>
            <w:tcW w:type="dxa" w:w="231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　</w:t>
            </w:r>
          </w:p>
        </w:tc>
        <w:tc>
          <w:tcPr>
            <w:tcW w:type="dxa" w:w="553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本年支出合计</w:t>
            </w:r>
          </w:p>
        </w:tc>
        <w:tc>
          <w:tcPr>
            <w:tcW w:type="dxa" w:w="231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20"/>
          <w:hidden w:val="0"/>
        </w:trPr>
        <w:tc>
          <w:tcPr>
            <w:tcW w:type="dxa" w:w="46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上级专项转移支付收入</w:t>
            </w:r>
          </w:p>
        </w:tc>
        <w:tc>
          <w:tcPr>
            <w:tcW w:type="dxa" w:w="231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　</w:t>
            </w:r>
          </w:p>
        </w:tc>
        <w:tc>
          <w:tcPr>
            <w:tcW w:type="dxa" w:w="553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调出资金</w:t>
            </w:r>
          </w:p>
        </w:tc>
        <w:tc>
          <w:tcPr>
            <w:tcW w:type="dxa" w:w="231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20"/>
          <w:hidden w:val="0"/>
        </w:trPr>
        <w:tc>
          <w:tcPr>
            <w:tcW w:type="dxa" w:w="46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上年结转收入</w:t>
            </w:r>
          </w:p>
        </w:tc>
        <w:tc>
          <w:tcPr>
            <w:tcW w:type="dxa" w:w="231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　</w:t>
            </w:r>
          </w:p>
        </w:tc>
        <w:tc>
          <w:tcPr>
            <w:tcW w:type="dxa" w:w="553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　</w:t>
            </w:r>
          </w:p>
        </w:tc>
        <w:tc>
          <w:tcPr>
            <w:tcW w:type="dxa" w:w="231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20"/>
          <w:hidden w:val="0"/>
        </w:trPr>
        <w:tc>
          <w:tcPr>
            <w:tcW w:type="dxa" w:w="46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　</w:t>
            </w:r>
          </w:p>
        </w:tc>
        <w:tc>
          <w:tcPr>
            <w:tcW w:type="dxa" w:w="231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　</w:t>
            </w:r>
          </w:p>
        </w:tc>
        <w:tc>
          <w:tcPr>
            <w:tcW w:type="dxa" w:w="553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　</w:t>
            </w:r>
          </w:p>
        </w:tc>
        <w:tc>
          <w:tcPr>
            <w:tcW w:type="dxa" w:w="231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　</w:t>
            </w:r>
          </w:p>
        </w:tc>
      </w:tr>
      <w:tr>
        <w:trPr>
          <w:trHeight w:hRule="atleast" w:val="420"/>
          <w:hidden w:val="0"/>
        </w:trPr>
        <w:tc>
          <w:tcPr>
            <w:tcW w:type="dxa" w:w="46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收入总计</w:t>
            </w:r>
          </w:p>
        </w:tc>
        <w:tc>
          <w:tcPr>
            <w:tcW w:type="dxa" w:w="231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　</w:t>
            </w:r>
          </w:p>
        </w:tc>
        <w:tc>
          <w:tcPr>
            <w:tcW w:type="dxa" w:w="553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支出总计</w:t>
            </w:r>
          </w:p>
        </w:tc>
        <w:tc>
          <w:tcPr>
            <w:tcW w:type="dxa" w:w="231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　</w:t>
            </w:r>
          </w:p>
        </w:tc>
      </w:tr>
    </w:tbl>
    <w:p>
      <w:pPr>
        <w:bidi w:val="0"/>
        <w:numPr>
          <w:ilvl w:val="0"/>
          <w:numId w:val="0"/>
        </w:numPr>
        <w:jc w:val="both"/>
        <w:spacing w:lineRule="auto" w:line="240" w:before="0" w:after="160"/>
        <w:pageBreakBefore w:val="0"/>
        <w:ind w:right="0" w:firstLine="0"/>
        <w:tabs>
          <w:tab w:val="left" w:pos="3216"/>
        </w:tabs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160"/>
        <w:pageBreakBefore w:val="0"/>
        <w:ind w:right="0" w:firstLine="0"/>
        <w:tabs>
          <w:tab w:val="left" w:pos="3216"/>
        </w:tabs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160"/>
        <w:pageBreakBefore w:val="0"/>
        <w:ind w:right="0" w:firstLine="0"/>
        <w:tabs>
          <w:tab w:val="left" w:pos="3216"/>
        </w:tabs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14786" w:type="dxa"/>
        <w:tblLook w:val="000000" w:firstRow="0" w:lastRow="0" w:firstColumn="0" w:lastColumn="0" w:noHBand="0" w:noVBand="0"/>
        <w:tblLayout w:type="fixed"/>
      </w:tblPr>
      <w:tblGrid>
        <w:gridCol w:w="3992"/>
        <w:gridCol w:w="6216"/>
        <w:gridCol w:w="4578"/>
      </w:tblGrid>
      <w:tr>
        <w:trPr>
          <w:trHeight w:hRule="atleast" w:val="840"/>
          <w:hidden w:val="0"/>
        </w:trPr>
        <w:tc>
          <w:tcPr>
            <w:tcW w:type="dxa" w:w="14786"/>
            <w:vAlign w:val="center"/>
            <w:gridSpan w:val="3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b w:val="1"/>
                <w:color w:val="auto"/>
                <w:position w:val="0"/>
                <w:sz w:val="40"/>
                <w:szCs w:val="40"/>
                <w:rFonts w:ascii="宋体" w:eastAsia="宋体" w:hAnsi="宋体" w:hint="default"/>
              </w:rPr>
              <w:autoSpaceDE w:val="1"/>
              <w:autoSpaceDN w:val="1"/>
            </w:pPr>
            <w:bookmarkStart w:id="9" w:name="RANGE!A1:C14"/>
            <w:r>
              <w:rPr>
                <w:b w:val="1"/>
                <w:color w:val="auto"/>
                <w:position w:val="0"/>
                <w:sz w:val="40"/>
                <w:szCs w:val="40"/>
                <w:rFonts w:ascii="宋体" w:eastAsia="宋体" w:hAnsi="宋体" w:hint="default"/>
              </w:rPr>
              <w:t>2019年机关运行经费</w:t>
            </w:r>
            <w:bookmarkEnd w:id="9"/>
          </w:p>
        </w:tc>
      </w:tr>
      <w:tr>
        <w:trPr>
          <w:trHeight w:hRule="atleast" w:val="402"/>
          <w:hidden w:val="0"/>
        </w:trPr>
        <w:tc>
          <w:tcPr>
            <w:tcW w:type="dxa" w:w="10208"/>
            <w:vAlign w:val="center"/>
            <w:gridSpan w:val="2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单位名称焦作市中级人民法院机关后勤服务中心</w:t>
            </w:r>
          </w:p>
        </w:tc>
        <w:tc>
          <w:tcPr>
            <w:tcW w:type="dxa" w:w="4578"/>
            <w:vAlign w:val="center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单位：万元</w:t>
            </w:r>
          </w:p>
        </w:tc>
      </w:tr>
      <w:tr>
        <w:trPr>
          <w:trHeight w:hRule="atleast" w:val="402"/>
          <w:hidden w:val="0"/>
        </w:trPr>
        <w:tc>
          <w:tcPr>
            <w:tcW w:type="dxa" w:w="399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科目编码</w:t>
            </w:r>
          </w:p>
        </w:tc>
        <w:tc>
          <w:tcPr>
            <w:tcW w:type="dxa" w:w="6216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科目名称</w:t>
            </w:r>
          </w:p>
        </w:tc>
        <w:tc>
          <w:tcPr>
            <w:tcW w:type="dxa" w:w="4578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机关运行经费支出</w:t>
            </w:r>
          </w:p>
        </w:tc>
      </w:tr>
      <w:tr>
        <w:trPr>
          <w:trHeight w:hRule="atleast" w:val="285"/>
          <w:hidden w:val="0"/>
        </w:trPr>
        <w:tc>
          <w:tcPr>
            <w:tcW w:type="dxa" w:w="399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*</w:t>
            </w:r>
          </w:p>
        </w:tc>
        <w:tc>
          <w:tcPr>
            <w:tcW w:type="dxa" w:w="621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*</w:t>
            </w:r>
          </w:p>
        </w:tc>
        <w:tc>
          <w:tcPr>
            <w:tcW w:type="dxa" w:w="457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1</w:t>
            </w:r>
          </w:p>
        </w:tc>
      </w:tr>
      <w:tr>
        <w:trPr>
          <w:trHeight w:hRule="atleast" w:val="402"/>
          <w:hidden w:val="0"/>
        </w:trPr>
        <w:tc>
          <w:tcPr>
            <w:tcW w:type="dxa" w:w="399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合计</w:t>
            </w:r>
          </w:p>
        </w:tc>
        <w:tc>
          <w:tcPr>
            <w:tcW w:type="dxa" w:w="621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　</w:t>
            </w:r>
          </w:p>
        </w:tc>
        <w:tc>
          <w:tcPr>
            <w:tcW w:type="dxa" w:w="457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18.96 </w:t>
            </w:r>
          </w:p>
        </w:tc>
      </w:tr>
      <w:tr>
        <w:trPr>
          <w:trHeight w:hRule="atleast" w:val="402"/>
          <w:hidden w:val="0"/>
        </w:trPr>
        <w:tc>
          <w:tcPr>
            <w:tcW w:type="dxa" w:w="399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30201</w:t>
            </w:r>
          </w:p>
        </w:tc>
        <w:tc>
          <w:tcPr>
            <w:tcW w:type="dxa" w:w="621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办公费</w:t>
            </w:r>
          </w:p>
        </w:tc>
        <w:tc>
          <w:tcPr>
            <w:tcW w:type="dxa" w:w="457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1.00 </w:t>
            </w:r>
          </w:p>
        </w:tc>
      </w:tr>
      <w:tr>
        <w:trPr>
          <w:trHeight w:hRule="atleast" w:val="402"/>
          <w:hidden w:val="0"/>
        </w:trPr>
        <w:tc>
          <w:tcPr>
            <w:tcW w:type="dxa" w:w="399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30202</w:t>
            </w:r>
          </w:p>
        </w:tc>
        <w:tc>
          <w:tcPr>
            <w:tcW w:type="dxa" w:w="621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印刷费</w:t>
            </w:r>
          </w:p>
        </w:tc>
        <w:tc>
          <w:tcPr>
            <w:tcW w:type="dxa" w:w="457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0.30 </w:t>
            </w:r>
          </w:p>
        </w:tc>
      </w:tr>
      <w:tr>
        <w:trPr>
          <w:trHeight w:hRule="atleast" w:val="402"/>
          <w:hidden w:val="0"/>
        </w:trPr>
        <w:tc>
          <w:tcPr>
            <w:tcW w:type="dxa" w:w="399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30211</w:t>
            </w:r>
          </w:p>
        </w:tc>
        <w:tc>
          <w:tcPr>
            <w:tcW w:type="dxa" w:w="621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差旅费</w:t>
            </w:r>
          </w:p>
        </w:tc>
        <w:tc>
          <w:tcPr>
            <w:tcW w:type="dxa" w:w="457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0.20 </w:t>
            </w:r>
          </w:p>
        </w:tc>
      </w:tr>
      <w:tr>
        <w:trPr>
          <w:trHeight w:hRule="atleast" w:val="402"/>
          <w:hidden w:val="0"/>
        </w:trPr>
        <w:tc>
          <w:tcPr>
            <w:tcW w:type="dxa" w:w="399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30216</w:t>
            </w:r>
          </w:p>
        </w:tc>
        <w:tc>
          <w:tcPr>
            <w:tcW w:type="dxa" w:w="621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培训费</w:t>
            </w:r>
          </w:p>
        </w:tc>
        <w:tc>
          <w:tcPr>
            <w:tcW w:type="dxa" w:w="457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0.92 </w:t>
            </w:r>
          </w:p>
        </w:tc>
      </w:tr>
      <w:tr>
        <w:trPr>
          <w:trHeight w:hRule="atleast" w:val="402"/>
          <w:hidden w:val="0"/>
        </w:trPr>
        <w:tc>
          <w:tcPr>
            <w:tcW w:type="dxa" w:w="399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30226</w:t>
            </w:r>
          </w:p>
        </w:tc>
        <w:tc>
          <w:tcPr>
            <w:tcW w:type="dxa" w:w="621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劳务费</w:t>
            </w:r>
          </w:p>
        </w:tc>
        <w:tc>
          <w:tcPr>
            <w:tcW w:type="dxa" w:w="457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15.00 </w:t>
            </w:r>
          </w:p>
        </w:tc>
      </w:tr>
      <w:tr>
        <w:trPr>
          <w:trHeight w:hRule="atleast" w:val="402"/>
          <w:hidden w:val="0"/>
        </w:trPr>
        <w:tc>
          <w:tcPr>
            <w:tcW w:type="dxa" w:w="399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30229</w:t>
            </w:r>
          </w:p>
        </w:tc>
        <w:tc>
          <w:tcPr>
            <w:tcW w:type="dxa" w:w="621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福利费</w:t>
            </w:r>
          </w:p>
        </w:tc>
        <w:tc>
          <w:tcPr>
            <w:tcW w:type="dxa" w:w="457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0.14 </w:t>
            </w:r>
          </w:p>
        </w:tc>
      </w:tr>
      <w:tr>
        <w:trPr>
          <w:trHeight w:hRule="atleast" w:val="402"/>
          <w:hidden w:val="0"/>
        </w:trPr>
        <w:tc>
          <w:tcPr>
            <w:tcW w:type="dxa" w:w="399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30239</w:t>
            </w:r>
          </w:p>
        </w:tc>
        <w:tc>
          <w:tcPr>
            <w:tcW w:type="dxa" w:w="621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其他交通费用</w:t>
            </w:r>
          </w:p>
        </w:tc>
        <w:tc>
          <w:tcPr>
            <w:tcW w:type="dxa" w:w="457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0.50 </w:t>
            </w:r>
          </w:p>
        </w:tc>
      </w:tr>
      <w:tr>
        <w:trPr>
          <w:trHeight w:hRule="atleast" w:val="402"/>
          <w:hidden w:val="0"/>
        </w:trPr>
        <w:tc>
          <w:tcPr>
            <w:tcW w:type="dxa" w:w="399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30299</w:t>
            </w:r>
          </w:p>
        </w:tc>
        <w:tc>
          <w:tcPr>
            <w:tcW w:type="dxa" w:w="621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其他商品和服务支出</w:t>
            </w:r>
          </w:p>
        </w:tc>
        <w:tc>
          <w:tcPr>
            <w:tcW w:type="dxa" w:w="457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0.40 </w:t>
            </w:r>
          </w:p>
        </w:tc>
      </w:tr>
      <w:tr>
        <w:trPr>
          <w:trHeight w:hRule="atleast" w:val="402"/>
          <w:hidden w:val="0"/>
        </w:trPr>
        <w:tc>
          <w:tcPr>
            <w:tcW w:type="dxa" w:w="399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31007</w:t>
            </w:r>
          </w:p>
        </w:tc>
        <w:tc>
          <w:tcPr>
            <w:tcW w:type="dxa" w:w="621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信息网络及软件购置更新</w:t>
            </w:r>
          </w:p>
        </w:tc>
        <w:tc>
          <w:tcPr>
            <w:tcW w:type="dxa" w:w="457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0.50 </w:t>
            </w:r>
          </w:p>
        </w:tc>
      </w:tr>
    </w:tbl>
    <w:p>
      <w:pPr>
        <w:bidi w:val="0"/>
        <w:numPr>
          <w:ilvl w:val="0"/>
          <w:numId w:val="0"/>
        </w:numPr>
        <w:jc w:val="both"/>
        <w:spacing w:lineRule="auto" w:line="240" w:before="0" w:after="160"/>
        <w:pageBreakBefore w:val="0"/>
        <w:ind w:right="0" w:firstLine="0"/>
        <w:tabs>
          <w:tab w:val="left" w:pos="3216"/>
        </w:tabs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160"/>
        <w:pageBreakBefore w:val="0"/>
        <w:ind w:right="0" w:firstLine="0"/>
        <w:tabs>
          <w:tab w:val="left" w:pos="3216"/>
        </w:tabs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160"/>
        <w:pageBreakBefore w:val="0"/>
        <w:ind w:right="0" w:firstLine="0"/>
        <w:tabs>
          <w:tab w:val="left" w:pos="3216"/>
        </w:tabs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160"/>
        <w:pageBreakBefore w:val="0"/>
        <w:ind w:right="0" w:firstLine="0"/>
        <w:tabs>
          <w:tab w:val="left" w:pos="3216"/>
        </w:tabs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160"/>
        <w:pageBreakBefore w:val="0"/>
        <w:ind w:right="0" w:firstLine="0"/>
        <w:tabs>
          <w:tab w:val="left" w:pos="3216"/>
        </w:tabs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14786" w:type="dxa"/>
        <w:tblLook w:val="000000" w:firstRow="0" w:lastRow="0" w:firstColumn="0" w:lastColumn="0" w:noHBand="0" w:noVBand="0"/>
        <w:tblLayout w:type="fixed"/>
      </w:tblPr>
      <w:tblGrid>
        <w:gridCol w:w="682"/>
        <w:gridCol w:w="682"/>
        <w:gridCol w:w="1575"/>
        <w:gridCol w:w="2483"/>
        <w:gridCol w:w="1203"/>
        <w:gridCol w:w="1277"/>
        <w:gridCol w:w="576"/>
        <w:gridCol w:w="346"/>
        <w:gridCol w:w="352"/>
        <w:gridCol w:w="1674"/>
        <w:gridCol w:w="1449"/>
        <w:gridCol w:w="1251"/>
        <w:gridCol w:w="1014"/>
        <w:gridCol w:w="222"/>
      </w:tblGrid>
      <w:tr>
        <w:trPr>
          <w:gridAfter w:val="2"/>
          <w:wAfter w:w="1236"/>
          <w:trHeight w:hRule="atleast" w:val="660"/>
          <w:hidden w:val="0"/>
        </w:trPr>
        <w:tc>
          <w:tcPr>
            <w:tcW w:type="dxa" w:w="13550"/>
            <w:vAlign w:val="center"/>
            <w:gridSpan w:val="12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b w:val="1"/>
                <w:color w:val="000000"/>
                <w:position w:val="0"/>
                <w:sz w:val="40"/>
                <w:szCs w:val="4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40"/>
                <w:szCs w:val="40"/>
                <w:rFonts w:ascii="宋体" w:eastAsia="宋体" w:hAnsi="宋体" w:hint="default"/>
              </w:rPr>
              <w:t>2019年预算项目支出绩效目标表</w:t>
            </w:r>
          </w:p>
        </w:tc>
      </w:tr>
      <w:tr>
        <w:trPr>
          <w:trHeight w:hRule="atleast" w:val="402"/>
          <w:hidden w:val="0"/>
        </w:trPr>
        <w:tc>
          <w:tcPr>
            <w:tcW w:type="dxa" w:w="8478"/>
            <w:vAlign w:val="center"/>
            <w:gridSpan w:val="7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单位名称：焦作市中级人民法院机关后勤服务中心</w:t>
            </w:r>
          </w:p>
        </w:tc>
        <w:tc>
          <w:tcPr>
            <w:tcW w:type="dxa" w:w="346"/>
            <w:vAlign w:val="center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5962"/>
            <w:vAlign w:val="center"/>
            <w:gridSpan w:val="6"/>
            <w:tcBorders>
              <w:bottom w:val="nil" w:color="auto"/>
              <w:left w:val="nil" w:color="auto"/>
              <w:right w:val="nil" w:color="auto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160"/>
              <w:pageBreakBefore w:val="0"/>
              <w:ind w:right="764" w:firstLine="0"/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0"/>
                <w:szCs w:val="20"/>
                <w:rFonts w:ascii="宋体" w:eastAsia="宋体" w:hAnsi="宋体" w:hint="default"/>
              </w:rPr>
              <w:t xml:space="preserve">                          单位：万元</w:t>
            </w:r>
          </w:p>
        </w:tc>
      </w:tr>
      <w:tr>
        <w:trPr>
          <w:trHeight w:hRule="atleast" w:val="402"/>
          <w:hidden w:val="0"/>
        </w:trPr>
        <w:tc>
          <w:tcPr>
            <w:tcW w:type="dxa" w:w="5422"/>
            <w:vAlign w:val="center"/>
            <w:gridSpan w:val="4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项目名称</w:t>
            </w:r>
          </w:p>
        </w:tc>
        <w:tc>
          <w:tcPr>
            <w:tcW w:type="dxa" w:w="9142"/>
            <w:vAlign w:val="center"/>
            <w:gridSpan w:val="9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法院后勤服务保障和机关餐厅伙食补　</w:t>
            </w:r>
          </w:p>
        </w:tc>
        <w:tc>
          <w:tcPr>
            <w:tcW w:type="dxa" w:w="222"/>
            <w:vAlign w:val="center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402"/>
          <w:hidden w:val="0"/>
        </w:trPr>
        <w:tc>
          <w:tcPr>
            <w:tcW w:type="dxa" w:w="5422"/>
            <w:vAlign w:val="center"/>
            <w:gridSpan w:val="4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主管部门</w:t>
            </w:r>
          </w:p>
        </w:tc>
        <w:tc>
          <w:tcPr>
            <w:tcW w:type="dxa" w:w="2480"/>
            <w:vAlign w:val="center"/>
            <w:gridSpan w:val="2"/>
            <w:tcBorders>
              <w:bottom w:val="single" w:color="auto" w:sz="4"/>
              <w:left w:val="nil" w:color="auto"/>
              <w:right w:val="single" w:color="000000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焦作市中级人民法院　</w:t>
            </w:r>
          </w:p>
        </w:tc>
        <w:tc>
          <w:tcPr>
            <w:tcW w:type="dxa" w:w="1274"/>
            <w:vAlign w:val="center"/>
            <w:gridSpan w:val="3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实施单位</w:t>
            </w:r>
          </w:p>
        </w:tc>
        <w:tc>
          <w:tcPr>
            <w:tcW w:type="dxa" w:w="5388"/>
            <w:vAlign w:val="center"/>
            <w:gridSpan w:val="4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焦作市中级人民法院机关后勤服务中心　</w:t>
            </w:r>
          </w:p>
        </w:tc>
        <w:tc>
          <w:tcPr>
            <w:tcW w:type="dxa" w:w="222"/>
            <w:vAlign w:val="center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402"/>
          <w:hidden w:val="0"/>
        </w:trPr>
        <w:tc>
          <w:tcPr>
            <w:tcW w:type="dxa" w:w="682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项目</w:t>
            </w: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概况</w:t>
            </w:r>
          </w:p>
        </w:tc>
        <w:tc>
          <w:tcPr>
            <w:tcW w:type="dxa" w:w="4740"/>
            <w:vAlign w:val="center"/>
            <w:gridSpan w:val="3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项目类别</w:t>
            </w:r>
          </w:p>
        </w:tc>
        <w:tc>
          <w:tcPr>
            <w:tcW w:type="dxa" w:w="248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　其他项目支出</w:t>
            </w:r>
          </w:p>
        </w:tc>
        <w:tc>
          <w:tcPr>
            <w:tcW w:type="dxa" w:w="1274"/>
            <w:vAlign w:val="center"/>
            <w:gridSpan w:val="3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项目属性</w:t>
            </w:r>
          </w:p>
        </w:tc>
        <w:tc>
          <w:tcPr>
            <w:tcW w:type="dxa" w:w="5388"/>
            <w:vAlign w:val="center"/>
            <w:gridSpan w:val="4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常年性项目　</w:t>
            </w:r>
          </w:p>
        </w:tc>
        <w:tc>
          <w:tcPr>
            <w:tcW w:type="dxa" w:w="222"/>
            <w:vAlign w:val="center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526"/>
          <w:hidden w:val="0"/>
        </w:trPr>
        <w:tc>
          <w:tcPr>
            <w:tcW w:type="dxa" w:w="682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4740"/>
            <w:vAlign w:val="center"/>
            <w:gridSpan w:val="3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项目周期</w:t>
            </w:r>
          </w:p>
        </w:tc>
        <w:tc>
          <w:tcPr>
            <w:tcW w:type="dxa" w:w="2480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1年　</w:t>
            </w:r>
          </w:p>
        </w:tc>
        <w:tc>
          <w:tcPr>
            <w:tcW w:type="dxa" w:w="1274"/>
            <w:vAlign w:val="center"/>
            <w:gridSpan w:val="3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项目负责</w:t>
            </w: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人</w:t>
            </w:r>
          </w:p>
        </w:tc>
        <w:tc>
          <w:tcPr>
            <w:tcW w:type="dxa" w:w="5388"/>
            <w:vAlign w:val="center"/>
            <w:gridSpan w:val="4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徐运新　</w:t>
            </w:r>
          </w:p>
        </w:tc>
        <w:tc>
          <w:tcPr>
            <w:tcW w:type="dxa" w:w="222"/>
            <w:vAlign w:val="center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831"/>
          <w:hidden w:val="0"/>
        </w:trPr>
        <w:tc>
          <w:tcPr>
            <w:tcW w:type="dxa" w:w="682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4740"/>
            <w:vAlign w:val="center"/>
            <w:gridSpan w:val="3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资金来源</w:t>
            </w:r>
          </w:p>
        </w:tc>
        <w:tc>
          <w:tcPr>
            <w:tcW w:type="dxa" w:w="120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其中：本</w:t>
            </w: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级财政资</w:t>
            </w: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金</w:t>
            </w:r>
          </w:p>
        </w:tc>
        <w:tc>
          <w:tcPr>
            <w:tcW w:type="dxa" w:w="127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　57</w:t>
            </w:r>
          </w:p>
        </w:tc>
        <w:tc>
          <w:tcPr>
            <w:tcW w:type="dxa" w:w="1274"/>
            <w:vAlign w:val="center"/>
            <w:gridSpan w:val="3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上级补助</w:t>
            </w:r>
          </w:p>
        </w:tc>
        <w:tc>
          <w:tcPr>
            <w:tcW w:type="dxa" w:w="1674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　</w:t>
            </w:r>
          </w:p>
        </w:tc>
        <w:tc>
          <w:tcPr>
            <w:tcW w:type="dxa" w:w="14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其他资金</w:t>
            </w:r>
          </w:p>
        </w:tc>
        <w:tc>
          <w:tcPr>
            <w:tcW w:type="dxa" w:w="2265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　</w:t>
            </w:r>
          </w:p>
        </w:tc>
        <w:tc>
          <w:tcPr>
            <w:tcW w:type="dxa" w:w="222"/>
            <w:vAlign w:val="center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559"/>
          <w:hidden w:val="0"/>
        </w:trPr>
        <w:tc>
          <w:tcPr>
            <w:tcW w:type="dxa" w:w="682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4740"/>
            <w:vAlign w:val="center"/>
            <w:gridSpan w:val="3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本级财政资金             分年项目预算</w:t>
            </w:r>
          </w:p>
        </w:tc>
        <w:tc>
          <w:tcPr>
            <w:tcW w:type="dxa" w:w="120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2019年</w:t>
            </w:r>
          </w:p>
        </w:tc>
        <w:tc>
          <w:tcPr>
            <w:tcW w:type="dxa" w:w="1277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  57　</w:t>
            </w:r>
          </w:p>
        </w:tc>
        <w:tc>
          <w:tcPr>
            <w:tcW w:type="dxa" w:w="1274"/>
            <w:vAlign w:val="center"/>
            <w:gridSpan w:val="3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2020年</w:t>
            </w:r>
          </w:p>
        </w:tc>
        <w:tc>
          <w:tcPr>
            <w:tcW w:type="dxa" w:w="1674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　</w:t>
            </w:r>
          </w:p>
        </w:tc>
        <w:tc>
          <w:tcPr>
            <w:tcW w:type="dxa" w:w="144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2021年</w:t>
            </w:r>
          </w:p>
        </w:tc>
        <w:tc>
          <w:tcPr>
            <w:tcW w:type="dxa" w:w="2265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　</w:t>
            </w:r>
          </w:p>
        </w:tc>
        <w:tc>
          <w:tcPr>
            <w:tcW w:type="dxa" w:w="222"/>
            <w:vAlign w:val="center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402"/>
          <w:hidden w:val="0"/>
        </w:trPr>
        <w:tc>
          <w:tcPr>
            <w:tcW w:type="dxa" w:w="682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4740"/>
            <w:vAlign w:val="center"/>
            <w:gridSpan w:val="3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项目基本概况</w:t>
            </w:r>
          </w:p>
        </w:tc>
        <w:tc>
          <w:tcPr>
            <w:tcW w:type="dxa" w:w="9142"/>
            <w:vAlign w:val="center"/>
            <w:gridSpan w:val="9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宋体" w:eastAsia="宋体" w:hAnsi="宋体" w:hint="default"/>
              </w:rPr>
              <w:t>保障后勤服务体系运行和机关餐厅职工就餐等</w:t>
            </w:r>
          </w:p>
        </w:tc>
        <w:tc>
          <w:tcPr>
            <w:tcW w:type="dxa" w:w="222"/>
            <w:vAlign w:val="center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402"/>
          <w:hidden w:val="0"/>
        </w:trPr>
        <w:tc>
          <w:tcPr>
            <w:tcW w:type="dxa" w:w="682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4740"/>
            <w:vAlign w:val="center"/>
            <w:gridSpan w:val="3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政策依据</w:t>
            </w:r>
          </w:p>
        </w:tc>
        <w:tc>
          <w:tcPr>
            <w:tcW w:type="dxa" w:w="9142"/>
            <w:vAlign w:val="center"/>
            <w:gridSpan w:val="9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依据市政府安排</w:t>
            </w:r>
          </w:p>
        </w:tc>
        <w:tc>
          <w:tcPr>
            <w:tcW w:type="dxa" w:w="222"/>
            <w:vAlign w:val="center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402"/>
          <w:hidden w:val="0"/>
        </w:trPr>
        <w:tc>
          <w:tcPr>
            <w:tcW w:type="dxa" w:w="682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项目</w:t>
            </w: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支出</w:t>
            </w: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绩效</w:t>
            </w: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目标</w:t>
            </w: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与指</w:t>
            </w: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标</w:t>
            </w:r>
          </w:p>
        </w:tc>
        <w:tc>
          <w:tcPr>
            <w:tcW w:type="dxa" w:w="4740"/>
            <w:vAlign w:val="center"/>
            <w:gridSpan w:val="3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绩效目标</w:t>
            </w:r>
          </w:p>
        </w:tc>
        <w:tc>
          <w:tcPr>
            <w:tcW w:type="dxa" w:w="9142"/>
            <w:vAlign w:val="center"/>
            <w:gridSpan w:val="9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完善后勤系统的整体运行，保障干警的生活工作安排，为更好的服务干警提供后勤保障。</w:t>
            </w:r>
          </w:p>
        </w:tc>
        <w:tc>
          <w:tcPr>
            <w:tcW w:type="dxa" w:w="222"/>
            <w:vAlign w:val="center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329"/>
          <w:hidden w:val="0"/>
        </w:trPr>
        <w:tc>
          <w:tcPr>
            <w:tcW w:type="dxa" w:w="682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682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绩效</w:t>
            </w: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指标</w:t>
            </w:r>
          </w:p>
        </w:tc>
        <w:tc>
          <w:tcPr>
            <w:tcW w:type="dxa" w:w="1575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一级指标</w:t>
            </w:r>
          </w:p>
        </w:tc>
        <w:tc>
          <w:tcPr>
            <w:tcW w:type="dxa" w:w="2483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二级指标</w:t>
            </w:r>
          </w:p>
        </w:tc>
        <w:tc>
          <w:tcPr>
            <w:tcW w:type="dxa" w:w="6877"/>
            <w:vAlign w:val="center"/>
            <w:gridSpan w:val="7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三级指标</w:t>
            </w:r>
          </w:p>
        </w:tc>
        <w:tc>
          <w:tcPr>
            <w:tcW w:type="dxa" w:w="2265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指标值</w:t>
            </w:r>
          </w:p>
        </w:tc>
        <w:tc>
          <w:tcPr>
            <w:tcW w:type="dxa" w:w="222"/>
            <w:vAlign w:val="center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402"/>
          <w:hidden w:val="0"/>
        </w:trPr>
        <w:tc>
          <w:tcPr>
            <w:tcW w:type="dxa" w:w="682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682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1575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产出指标</w:t>
            </w:r>
          </w:p>
        </w:tc>
        <w:tc>
          <w:tcPr>
            <w:tcW w:type="dxa" w:w="2483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数量指标</w:t>
            </w:r>
          </w:p>
        </w:tc>
        <w:tc>
          <w:tcPr>
            <w:tcW w:type="dxa" w:w="6877"/>
            <w:vAlign w:val="center"/>
            <w:gridSpan w:val="7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对法院干警提供办公用水，制服干洗、职工理发、就餐、卫生、健康</w:t>
            </w: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生活等提供服务、</w:t>
            </w:r>
          </w:p>
        </w:tc>
        <w:tc>
          <w:tcPr>
            <w:tcW w:type="dxa" w:w="2265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　≧400人</w:t>
            </w:r>
          </w:p>
        </w:tc>
        <w:tc>
          <w:tcPr>
            <w:tcW w:type="dxa" w:w="222"/>
            <w:vAlign w:val="center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402"/>
          <w:hidden w:val="0"/>
        </w:trPr>
        <w:tc>
          <w:tcPr>
            <w:tcW w:type="dxa" w:w="682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682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1575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/>
        </w:tc>
        <w:tc>
          <w:tcPr>
            <w:tcW w:type="dxa" w:w="2483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质量指标</w:t>
            </w:r>
          </w:p>
        </w:tc>
        <w:tc>
          <w:tcPr>
            <w:tcW w:type="dxa" w:w="6877"/>
            <w:vAlign w:val="center"/>
            <w:gridSpan w:val="7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　对以上项目提供优质的服务质量</w:t>
            </w:r>
          </w:p>
        </w:tc>
        <w:tc>
          <w:tcPr>
            <w:tcW w:type="dxa" w:w="2265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高质量　</w:t>
            </w:r>
          </w:p>
        </w:tc>
        <w:tc>
          <w:tcPr>
            <w:tcW w:type="dxa" w:w="222"/>
            <w:vAlign w:val="center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402"/>
          <w:hidden w:val="0"/>
        </w:trPr>
        <w:tc>
          <w:tcPr>
            <w:tcW w:type="dxa" w:w="682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682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1575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/>
        </w:tc>
        <w:tc>
          <w:tcPr>
            <w:tcW w:type="dxa" w:w="2483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时效指标</w:t>
            </w:r>
          </w:p>
        </w:tc>
        <w:tc>
          <w:tcPr>
            <w:tcW w:type="dxa" w:w="6877"/>
            <w:vAlign w:val="center"/>
            <w:gridSpan w:val="7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　及时有效的完成后勤服务工作</w:t>
            </w:r>
          </w:p>
        </w:tc>
        <w:tc>
          <w:tcPr>
            <w:tcW w:type="dxa" w:w="2265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高效率</w:t>
            </w:r>
          </w:p>
        </w:tc>
        <w:tc>
          <w:tcPr>
            <w:tcW w:type="dxa" w:w="222"/>
            <w:vAlign w:val="center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589"/>
          <w:hidden w:val="0"/>
        </w:trPr>
        <w:tc>
          <w:tcPr>
            <w:tcW w:type="dxa" w:w="682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682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1575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212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效益指标</w:t>
            </w:r>
          </w:p>
        </w:tc>
        <w:tc>
          <w:tcPr>
            <w:tcW w:type="dxa" w:w="2483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可持续影响指标</w:t>
            </w:r>
          </w:p>
        </w:tc>
        <w:tc>
          <w:tcPr>
            <w:tcW w:type="dxa" w:w="6877"/>
            <w:vAlign w:val="center"/>
            <w:gridSpan w:val="7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后勤服务水平持续提升</w:t>
            </w:r>
          </w:p>
        </w:tc>
        <w:tc>
          <w:tcPr>
            <w:tcW w:type="dxa" w:w="2265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        长效</w:t>
            </w:r>
          </w:p>
        </w:tc>
        <w:tc>
          <w:tcPr>
            <w:tcW w:type="dxa" w:w="222"/>
            <w:vAlign w:val="center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519"/>
          <w:hidden w:val="0"/>
        </w:trPr>
        <w:tc>
          <w:tcPr>
            <w:tcW w:type="dxa" w:w="682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682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1575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满意度指标</w:t>
            </w:r>
          </w:p>
        </w:tc>
        <w:tc>
          <w:tcPr>
            <w:tcW w:type="dxa" w:w="2483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服务对象满意度指标</w:t>
            </w:r>
          </w:p>
        </w:tc>
        <w:tc>
          <w:tcPr>
            <w:tcW w:type="dxa" w:w="6877"/>
            <w:vAlign w:val="center"/>
            <w:gridSpan w:val="7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本市法院干警满意度</w:t>
            </w:r>
          </w:p>
        </w:tc>
        <w:tc>
          <w:tcPr>
            <w:tcW w:type="dxa" w:w="2265"/>
            <w:vAlign w:val="center"/>
            <w:gridSpan w:val="2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160"/>
              <w:pageBreakBefore w:val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 xml:space="preserve">  满意　</w:t>
            </w:r>
          </w:p>
        </w:tc>
        <w:tc>
          <w:tcPr>
            <w:tcW w:type="dxa" w:w="222"/>
            <w:vAlign w:val="center"/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160"/>
              <w:pageBreakBefore w:val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</w:tr>
    </w:tbl>
    <w:p>
      <w:pPr>
        <w:bidi w:val="0"/>
        <w:numPr>
          <w:ilvl w:val="0"/>
          <w:numId w:val="0"/>
        </w:numPr>
        <w:jc w:val="both"/>
        <w:spacing w:lineRule="auto" w:line="240" w:before="0" w:after="160"/>
        <w:pageBreakBefore w:val="0"/>
        <w:ind w:right="0" w:firstLine="0"/>
        <w:tabs>
          <w:tab w:val="left" w:pos="3216"/>
        </w:tabs>
        <w:rPr>
          <w:color w:val="auto"/>
          <w:position w:val="0"/>
          <w:sz w:val="10"/>
          <w:szCs w:val="10"/>
          <w:rFonts w:ascii="仿宋_GB2312" w:eastAsia="仿宋_GB2312" w:hAnsi="仿宋_GB2312" w:hint="default"/>
        </w:rPr>
        <w:autoSpaceDE w:val="1"/>
        <w:autoSpaceDN w:val="1"/>
      </w:pPr>
    </w:p>
    <w:sectPr>
      <w:pgSz w:w="16838" w:h="11906" w:orient="landscape"/>
      <w:pgMar w:top="567" w:left="1134" w:bottom="567" w:right="1134" w:header="851" w:footer="992" w:gutter="0"/>
      <w:pgNumType w:fmt="decimal"/>
      <w:docGrid w:type="linesAndChars" w:linePitch="312" w:charSpace="-184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nothing"/>
      <w:rPr>
        <w:rFonts w:ascii="仿宋_GB2312" w:eastAsia="Times New Roman" w:hAnsi="仿宋_GB2312"/>
        <w:shd w:val="clear"/>
        <w:sz w:val="32"/>
        <w:szCs w:val="32"/>
        <w:u w:val="none"/>
        <w:w w:val="100"/>
      </w:rPr>
      <w:lvlText w:val="（%1）"/>
    </w:lvl>
    <w:lvl w:ilvl="1">
      <w:lvlJc w:val="left"/>
      <w:numFmt w:val="decimal"/>
      <w:start w:val="1"/>
      <w:suff w:val="nothing"/>
      <w:rPr>
        <w:rFonts w:ascii="仿宋_GB2312" w:eastAsia="Times New Roman" w:hAnsi="仿宋_GB2312"/>
        <w:shd w:val="clear"/>
        <w:sz w:val="32"/>
        <w:szCs w:val="32"/>
        <w:u w:val="none"/>
        <w:w w:val="100"/>
      </w:rPr>
      <w:lvlText w:val="（%1）"/>
    </w:lvl>
    <w:lvl w:ilvl="2">
      <w:lvlJc w:val="left"/>
      <w:numFmt w:val="decimal"/>
      <w:start w:val="1"/>
      <w:suff w:val="nothing"/>
      <w:rPr>
        <w:rFonts w:ascii="仿宋_GB2312" w:eastAsia="Times New Roman" w:hAnsi="仿宋_GB2312"/>
        <w:shd w:val="clear"/>
        <w:sz w:val="32"/>
        <w:szCs w:val="32"/>
        <w:u w:val="none"/>
        <w:w w:val="100"/>
      </w:rPr>
      <w:lvlText w:val="（%1）"/>
    </w:lvl>
    <w:lvl w:ilvl="3">
      <w:lvlJc w:val="left"/>
      <w:numFmt w:val="decimal"/>
      <w:start w:val="1"/>
      <w:suff w:val="nothing"/>
      <w:rPr>
        <w:rFonts w:ascii="仿宋_GB2312" w:eastAsia="Times New Roman" w:hAnsi="仿宋_GB2312"/>
        <w:shd w:val="clear"/>
        <w:sz w:val="32"/>
        <w:szCs w:val="32"/>
        <w:u w:val="none"/>
        <w:w w:val="100"/>
      </w:rPr>
      <w:lvlText w:val="（%1）"/>
    </w:lvl>
    <w:lvl w:ilvl="4">
      <w:lvlJc w:val="left"/>
      <w:numFmt w:val="decimal"/>
      <w:start w:val="1"/>
      <w:suff w:val="nothing"/>
      <w:rPr>
        <w:rFonts w:ascii="仿宋_GB2312" w:eastAsia="Times New Roman" w:hAnsi="仿宋_GB2312"/>
        <w:shd w:val="clear"/>
        <w:sz w:val="32"/>
        <w:szCs w:val="32"/>
        <w:u w:val="none"/>
        <w:w w:val="100"/>
      </w:rPr>
      <w:lvlText w:val="（%1）"/>
    </w:lvl>
    <w:lvl w:ilvl="5">
      <w:lvlJc w:val="left"/>
      <w:numFmt w:val="decimal"/>
      <w:start w:val="1"/>
      <w:suff w:val="nothing"/>
      <w:rPr>
        <w:rFonts w:ascii="仿宋_GB2312" w:eastAsia="Times New Roman" w:hAnsi="仿宋_GB2312"/>
        <w:shd w:val="clear"/>
        <w:sz w:val="32"/>
        <w:szCs w:val="32"/>
        <w:u w:val="none"/>
        <w:w w:val="100"/>
      </w:rPr>
      <w:lvlText w:val="（%1）"/>
    </w:lvl>
    <w:lvl w:ilvl="6">
      <w:lvlJc w:val="left"/>
      <w:numFmt w:val="decimal"/>
      <w:start w:val="1"/>
      <w:suff w:val="nothing"/>
      <w:rPr>
        <w:rFonts w:ascii="仿宋_GB2312" w:eastAsia="Times New Roman" w:hAnsi="仿宋_GB2312"/>
        <w:shd w:val="clear"/>
        <w:sz w:val="32"/>
        <w:szCs w:val="32"/>
        <w:u w:val="none"/>
        <w:w w:val="100"/>
      </w:rPr>
      <w:lvlText w:val="（%1）"/>
    </w:lvl>
    <w:lvl w:ilvl="7">
      <w:lvlJc w:val="left"/>
      <w:numFmt w:val="decimal"/>
      <w:start w:val="1"/>
      <w:suff w:val="nothing"/>
      <w:rPr>
        <w:rFonts w:ascii="仿宋_GB2312" w:eastAsia="Times New Roman" w:hAnsi="仿宋_GB2312"/>
        <w:shd w:val="clear"/>
        <w:sz w:val="32"/>
        <w:szCs w:val="32"/>
        <w:u w:val="none"/>
        <w:w w:val="100"/>
      </w:rPr>
      <w:lvlText w:val="（%1）"/>
    </w:lvl>
    <w:lvl w:ilvl="8">
      <w:lvlJc w:val="left"/>
      <w:numFmt w:val="decimal"/>
      <w:start w:val="1"/>
      <w:suff w:val="nothing"/>
      <w:rPr>
        <w:rFonts w:ascii="仿宋_GB2312" w:eastAsia="Times New Roman" w:hAnsi="仿宋_GB2312"/>
        <w:shd w:val="clear"/>
        <w:sz w:val="32"/>
        <w:szCs w:val="32"/>
        <w:u w:val="none"/>
        <w:w w:val="100"/>
      </w:rPr>
      <w:lvlText w:val="（%1）"/>
    </w:lvl>
  </w:abstractNum>
  <w:abstractNum w:abstractNumId="1">
    <w:multiLevelType w:val="hybridMultilevel"/>
    <w:nsid w:val="2F000001"/>
    <w:tmpl w:val="1F002411"/>
    <w:lvl w:ilvl="0">
      <w:lvlJc w:val="left"/>
      <w:numFmt w:val="decimal"/>
      <w:start w:val="1"/>
      <w:suff w:val="nothing"/>
      <w:rPr>
        <w:rFonts w:ascii="仿宋_GB2312" w:eastAsia="仿宋_GB2312" w:hAnsi="仿宋_GB2312"/>
        <w:shd w:val="clear"/>
        <w:sz w:val="32"/>
        <w:szCs w:val="32"/>
        <w:u w:val="none"/>
        <w:w w:val="100"/>
      </w:rPr>
      <w:lvlText w:val="（%1）"/>
    </w:lvl>
    <w:lvl w:ilvl="1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（%1）"/>
    </w:lvl>
    <w:lvl w:ilvl="2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（%1）"/>
    </w:lvl>
    <w:lvl w:ilvl="3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（%1）"/>
    </w:lvl>
    <w:lvl w:ilvl="4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（%1）"/>
    </w:lvl>
    <w:lvl w:ilvl="5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（%1）"/>
    </w:lvl>
    <w:lvl w:ilvl="6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（%1）"/>
    </w:lvl>
    <w:lvl w:ilvl="7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（%1）"/>
    </w:lvl>
    <w:lvl w:ilvl="8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（%1）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黑体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autoSpaceDE w:val="1"/>
      <w:autoSpaceDN w:val="1"/>
      <w:jc w:val="both"/>
      <w:widowControl/>
      <w:wordWrap/>
    </w:pPr>
    <w:rPr>
      <w:rFonts w:ascii="Times New Roman" w:eastAsia="Times New Roman" w:hAnsi="Times New Roman"/>
      <w:shd w:val="clear"/>
      <w:sz w:val="21"/>
      <w:szCs w:val="21"/>
      <w:w w:val="100"/>
    </w:rPr>
  </w:style>
  <w:style w:styleId="PO6" w:type="paragraph">
    <w:name w:val="Title"/>
    <w:qFormat/>
    <w:uiPriority w:val="6"/>
    <w:pPr>
      <w:autoSpaceDE w:val="1"/>
      <w:autoSpaceDN w:val="1"/>
      <w:jc w:val="center"/>
      <w:widowControl/>
      <w:wordWrap/>
    </w:pPr>
    <w:rPr>
      <w:rFonts w:ascii="Times New Roman" w:eastAsia="Times New Roman" w:hAnsi="Times New Roman"/>
      <w:b/>
      <w:shd w:val="clear"/>
      <w:sz w:val="32"/>
      <w:szCs w:val="32"/>
      <w:w w:val="100"/>
    </w:rPr>
  </w:style>
  <w:style w:styleId="PO7" w:type="paragraph">
    <w:name w:val="heading 1"/>
    <w:next w:val="PO1"/>
    <w:qFormat/>
    <w:uiPriority w:val="7"/>
    <w:pPr>
      <w:autoSpaceDE w:val="1"/>
      <w:autoSpaceDN w:val="1"/>
      <w:jc w:val="both"/>
      <w:widowControl/>
      <w:wordWrap/>
    </w:pPr>
    <w:rPr>
      <w:rFonts w:ascii="Times New Roman" w:eastAsia="Times New Roman" w:hAnsi="Times New Roman"/>
      <w:shd w:val="clear"/>
      <w:sz w:val="28"/>
      <w:szCs w:val="28"/>
      <w:w w:val="100"/>
    </w:rPr>
  </w:style>
  <w:style w:styleId="PO8" w:type="paragraph">
    <w:name w:val="heading 2"/>
    <w:next w:val="PO1"/>
    <w:qFormat/>
    <w:uiPriority w:val="8"/>
    <w:pPr>
      <w:autoSpaceDE w:val="1"/>
      <w:autoSpaceDN w:val="1"/>
      <w:jc w:val="both"/>
      <w:widowControl/>
      <w:wordWrap/>
    </w:pPr>
    <w:rPr>
      <w:rFonts w:ascii="Times New Roman" w:eastAsia="Times New Roman" w:hAnsi="Times New Roman"/>
      <w:shd w:val="clear"/>
      <w:sz w:val="21"/>
      <w:szCs w:val="21"/>
      <w:w w:val="100"/>
    </w:rPr>
  </w:style>
  <w:style w:styleId="PO9" w:type="paragraph">
    <w:name w:val="heading 3"/>
    <w:next w:val="PO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rFonts w:ascii="Times New Roman" w:eastAsia="Times New Roman" w:hAnsi="Times New Roman"/>
      <w:shd w:val="clear"/>
      <w:sz w:val="21"/>
      <w:szCs w:val="21"/>
      <w:w w:val="100"/>
    </w:rPr>
  </w:style>
  <w:style w:styleId="PO10" w:type="paragraph">
    <w:name w:val="heading 4"/>
    <w:next w:val="PO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rFonts w:ascii="Times New Roman" w:eastAsia="Times New Roman" w:hAnsi="Times New Roman"/>
      <w:b/>
      <w:shd w:val="clear"/>
      <w:sz w:val="21"/>
      <w:szCs w:val="21"/>
      <w:w w:val="100"/>
    </w:rPr>
  </w:style>
  <w:style w:styleId="PO11" w:type="paragraph">
    <w:name w:val="heading 5"/>
    <w:next w:val="PO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rFonts w:ascii="Times New Roman" w:eastAsia="Times New Roman" w:hAnsi="Times New Roman"/>
      <w:shd w:val="clear"/>
      <w:sz w:val="21"/>
      <w:szCs w:val="21"/>
      <w:w w:val="100"/>
    </w:rPr>
  </w:style>
  <w:style w:styleId="PO12" w:type="paragraph">
    <w:name w:val="heading 6"/>
    <w:next w:val="PO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rFonts w:ascii="Times New Roman" w:eastAsia="Times New Roman" w:hAnsi="Times New Roman"/>
      <w:b/>
      <w:shd w:val="clear"/>
      <w:sz w:val="21"/>
      <w:szCs w:val="21"/>
      <w:w w:val="100"/>
    </w:rPr>
  </w:style>
  <w:style w:styleId="PO13" w:type="paragraph">
    <w:name w:val="heading 7"/>
    <w:next w:val="PO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rFonts w:ascii="Times New Roman" w:eastAsia="Times New Roman" w:hAnsi="Times New Roman"/>
      <w:shd w:val="clear"/>
      <w:sz w:val="21"/>
      <w:szCs w:val="21"/>
      <w:w w:val="100"/>
    </w:rPr>
  </w:style>
  <w:style w:styleId="PO14" w:type="paragraph">
    <w:name w:val="heading 8"/>
    <w:next w:val="PO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rFonts w:ascii="Times New Roman" w:eastAsia="Times New Roman" w:hAnsi="Times New Roman"/>
      <w:shd w:val="clear"/>
      <w:sz w:val="21"/>
      <w:szCs w:val="21"/>
      <w:w w:val="100"/>
    </w:rPr>
  </w:style>
  <w:style w:styleId="PO15" w:type="paragraph">
    <w:name w:val="heading 9"/>
    <w:next w:val="PO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rFonts w:ascii="Times New Roman" w:eastAsia="Times New Roman" w:hAnsi="Times New Roman"/>
      <w:shd w:val="clear"/>
      <w:sz w:val="21"/>
      <w:szCs w:val="21"/>
      <w:w w:val="100"/>
    </w:rPr>
  </w:style>
  <w:style w:styleId="PO16" w:type="paragraph">
    <w:name w:val="Subtitle"/>
    <w:qFormat/>
    <w:uiPriority w:val="16"/>
    <w:pPr>
      <w:autoSpaceDE w:val="1"/>
      <w:autoSpaceDN w:val="1"/>
      <w:jc w:val="center"/>
      <w:widowControl/>
      <w:wordWrap/>
    </w:pPr>
    <w:rPr>
      <w:rFonts w:ascii="Times New Roman" w:eastAsia="Times New Roman" w:hAnsi="Times New Roman"/>
      <w:shd w:val="clear"/>
      <w:sz w:val="24"/>
      <w:szCs w:val="24"/>
      <w:w w:val="100"/>
    </w:rPr>
  </w:style>
  <w:style w:customStyle="1"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customStyle="1"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rFonts w:ascii="Times New Roman" w:eastAsia="Times New Roman" w:hAnsi="Times New Roman"/>
      <w:shd w:val="clear"/>
      <w:sz w:val="21"/>
      <w:szCs w:val="21"/>
      <w:w w:val="100"/>
    </w:rPr>
  </w:style>
  <w:style w:styleId="PO22" w:type="paragraph">
    <w:name w:val="Intense Quote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rFonts w:ascii="Times New Roman" w:eastAsia="Times New Roman" w:hAnsi="Times New Roman"/>
      <w:shd w:val="clear"/>
      <w:sz w:val="21"/>
      <w:szCs w:val="21"/>
      <w:w w:val="100"/>
    </w:rPr>
  </w:style>
  <w:style w:customStyle="1"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customStyle="1"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customStyle="1"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firstLine="420"/>
      <w:widowControl/>
      <w:wordWrap/>
    </w:pPr>
    <w:rPr>
      <w:rFonts w:ascii="宋体" w:eastAsia="Times New Roman" w:hAnsi="宋体"/>
      <w:shd w:val="clear"/>
      <w:sz w:val="20"/>
      <w:szCs w:val="20"/>
      <w:w w:val="100"/>
    </w:rPr>
  </w:style>
  <w:style w:customStyle="1" w:styleId="PO27" w:type="paragraph">
    <w:name w:val="TOC Heading"/>
    <w:qFormat/>
    <w:uiPriority w:val="27"/>
    <w:unhideWhenUsed/>
    <w:pPr>
      <w:autoSpaceDE w:val="1"/>
      <w:autoSpaceDN w:val="1"/>
      <w:widowControl/>
      <w:wordWrap/>
    </w:pPr>
    <w:rPr>
      <w:color w:val="2E74B5"/>
      <w:rFonts w:ascii="Times New Roman" w:eastAsia="Times New Roman" w:hAnsi="Times New Roman"/>
      <w:shd w:val="clear"/>
      <w:sz w:val="32"/>
      <w:szCs w:val="32"/>
      <w:w w:val="100"/>
    </w:rPr>
  </w:style>
  <w:style w:styleId="PO28" w:type="paragraph">
    <w:name w:val="toc 1"/>
    <w:next w:val="PO1"/>
    <w:qFormat/>
    <w:uiPriority w:val="28"/>
    <w:unhideWhenUsed/>
    <w:pPr>
      <w:autoSpaceDE w:val="1"/>
      <w:autoSpaceDN w:val="1"/>
      <w:jc w:val="both"/>
      <w:widowControl/>
      <w:wordWrap/>
    </w:pPr>
    <w:rPr>
      <w:rFonts w:ascii="Times New Roman" w:eastAsia="Times New Roman" w:hAnsi="Times New Roman"/>
      <w:shd w:val="clear"/>
      <w:sz w:val="21"/>
      <w:szCs w:val="21"/>
      <w:w w:val="100"/>
    </w:rPr>
  </w:style>
  <w:style w:styleId="PO29" w:type="paragraph">
    <w:name w:val="toc 2"/>
    <w:next w:val="PO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rFonts w:ascii="Times New Roman" w:eastAsia="Times New Roman" w:hAnsi="Times New Roman"/>
      <w:shd w:val="clear"/>
      <w:sz w:val="21"/>
      <w:szCs w:val="21"/>
      <w:w w:val="100"/>
    </w:rPr>
  </w:style>
  <w:style w:styleId="PO30" w:type="paragraph">
    <w:name w:val="toc 3"/>
    <w:next w:val="PO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rFonts w:ascii="Times New Roman" w:eastAsia="Times New Roman" w:hAnsi="Times New Roman"/>
      <w:shd w:val="clear"/>
      <w:sz w:val="21"/>
      <w:szCs w:val="21"/>
      <w:w w:val="100"/>
    </w:rPr>
  </w:style>
  <w:style w:styleId="PO31" w:type="paragraph">
    <w:name w:val="toc 4"/>
    <w:next w:val="PO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rFonts w:ascii="Times New Roman" w:eastAsia="Times New Roman" w:hAnsi="Times New Roman"/>
      <w:shd w:val="clear"/>
      <w:sz w:val="21"/>
      <w:szCs w:val="21"/>
      <w:w w:val="100"/>
    </w:rPr>
  </w:style>
  <w:style w:styleId="PO32" w:type="paragraph">
    <w:name w:val="toc 5"/>
    <w:next w:val="PO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rFonts w:ascii="Times New Roman" w:eastAsia="Times New Roman" w:hAnsi="Times New Roman"/>
      <w:shd w:val="clear"/>
      <w:sz w:val="21"/>
      <w:szCs w:val="21"/>
      <w:w w:val="100"/>
    </w:rPr>
  </w:style>
  <w:style w:styleId="PO33" w:type="paragraph">
    <w:name w:val="toc 6"/>
    <w:next w:val="PO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rFonts w:ascii="Times New Roman" w:eastAsia="Times New Roman" w:hAnsi="Times New Roman"/>
      <w:shd w:val="clear"/>
      <w:sz w:val="21"/>
      <w:szCs w:val="21"/>
      <w:w w:val="100"/>
    </w:rPr>
  </w:style>
  <w:style w:styleId="PO34" w:type="paragraph">
    <w:name w:val="toc 7"/>
    <w:next w:val="PO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rFonts w:ascii="Times New Roman" w:eastAsia="Times New Roman" w:hAnsi="Times New Roman"/>
      <w:shd w:val="clear"/>
      <w:sz w:val="21"/>
      <w:szCs w:val="21"/>
      <w:w w:val="100"/>
    </w:rPr>
  </w:style>
  <w:style w:styleId="PO35" w:type="paragraph">
    <w:name w:val="toc 8"/>
    <w:next w:val="PO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rFonts w:ascii="Times New Roman" w:eastAsia="Times New Roman" w:hAnsi="Times New Roman"/>
      <w:shd w:val="clear"/>
      <w:sz w:val="21"/>
      <w:szCs w:val="21"/>
      <w:w w:val="100"/>
    </w:rPr>
  </w:style>
  <w:style w:styleId="PO36" w:type="paragraph">
    <w:name w:val="toc 9"/>
    <w:next w:val="PO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rFonts w:ascii="Times New Roman" w:eastAsia="Times New Roman" w:hAnsi="Times New Roman"/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footer"/>
    <w:basedOn w:val="PO1"/>
    <w:link w:val="PO157"/>
    <w:qFormat/>
    <w:uiPriority w:val="152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3" w:type="paragraph">
    <w:name w:val="header"/>
    <w:basedOn w:val="PO1"/>
    <w:link w:val="PO158"/>
    <w:qFormat/>
    <w:uiPriority w:val="153"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4" w:type="character">
    <w:name w:val="page number"/>
    <w:basedOn w:val="PO2"/>
    <w:qFormat/>
    <w:uiPriority w:val="154"/>
  </w:style>
  <w:style w:styleId="PO155" w:type="character">
    <w:name w:val="FollowedHyperlink"/>
    <w:basedOn w:val="PO2"/>
    <w:qFormat/>
    <w:uiPriority w:val="155"/>
    <w:unhideWhenUsed/>
    <w:rPr>
      <w:color w:val="800080"/>
      <w:shd w:val="clear"/>
      <w:sz w:val="20"/>
      <w:szCs w:val="20"/>
      <w:u w:val="single"/>
      <w:w w:val="100"/>
    </w:rPr>
  </w:style>
  <w:style w:styleId="PO156" w:type="character">
    <w:name w:val="Hyperlink"/>
    <w:basedOn w:val="PO2"/>
    <w:qFormat/>
    <w:uiPriority w:val="156"/>
    <w:unhideWhenUsed/>
    <w:rPr>
      <w:color w:val="0000FF"/>
      <w:shd w:val="clear"/>
      <w:sz w:val="20"/>
      <w:szCs w:val="20"/>
      <w:u w:val="single"/>
      <w:w w:val="100"/>
    </w:rPr>
  </w:style>
  <w:style w:customStyle="1" w:styleId="PO157" w:type="character">
    <w:name w:val="页脚 Char"/>
    <w:basedOn w:val="PO2"/>
    <w:link w:val="PO152"/>
    <w:qFormat/>
    <w:uiPriority w:val="157"/>
    <w:rPr>
      <w:rFonts w:ascii="Calibri" w:eastAsia="黑体" w:hAnsi="Calibri"/>
      <w:shd w:val="clear"/>
      <w:sz w:val="18"/>
      <w:szCs w:val="18"/>
      <w:w w:val="100"/>
    </w:rPr>
  </w:style>
  <w:style w:customStyle="1" w:styleId="PO158" w:type="character">
    <w:name w:val="页眉 Char"/>
    <w:basedOn w:val="PO2"/>
    <w:link w:val="PO153"/>
    <w:qFormat/>
    <w:uiPriority w:val="158"/>
    <w:rPr>
      <w:rFonts w:ascii="Calibri" w:eastAsia="黑体" w:hAnsi="Calibri"/>
      <w:shd w:val="clear"/>
      <w:sz w:val="18"/>
      <w:szCs w:val="18"/>
      <w:w w:val="100"/>
    </w:rPr>
  </w:style>
  <w:style w:customStyle="1" w:styleId="PO159" w:type="paragraph">
    <w:name w:val="font5"/>
    <w:basedOn w:val="PO1"/>
    <w:qFormat/>
    <w:uiPriority w:val="159"/>
    <w:pPr>
      <w:autoSpaceDE w:val="1"/>
      <w:autoSpaceDN w:val="1"/>
      <w:widowControl/>
      <w:wordWrap/>
    </w:pPr>
    <w:rPr>
      <w:rFonts w:ascii="宋体" w:eastAsia="宋体" w:hAnsi="宋体"/>
      <w:shd w:val="clear"/>
      <w:sz w:val="18"/>
      <w:szCs w:val="18"/>
      <w:w w:val="100"/>
    </w:rPr>
  </w:style>
  <w:style w:customStyle="1" w:styleId="PO160" w:type="paragraph">
    <w:name w:val="xl72"/>
    <w:basedOn w:val="PO1"/>
    <w:qFormat/>
    <w:uiPriority w:val="160"/>
    <w:pPr>
      <w:autoSpaceDE w:val="1"/>
      <w:autoSpaceDN w:val="1"/>
      <w:widowControl/>
      <w:wordWrap/>
    </w:pPr>
    <w:rPr>
      <w:color w:val="000000"/>
      <w:rFonts w:ascii="宋体" w:eastAsia="宋体" w:hAnsi="宋体"/>
      <w:shd w:val="clear"/>
      <w:sz w:val="22"/>
      <w:szCs w:val="22"/>
      <w:w w:val="100"/>
    </w:rPr>
  </w:style>
  <w:style w:customStyle="1" w:styleId="PO161" w:type="paragraph">
    <w:name w:val="xl73"/>
    <w:basedOn w:val="PO1"/>
    <w:qFormat/>
    <w:uiPriority w:val="161"/>
    <w:pPr>
      <w:autoSpaceDE w:val="1"/>
      <w:autoSpaceDN w:val="1"/>
      <w:jc w:val="right"/>
      <w:widowControl/>
      <w:wordWrap/>
    </w:pPr>
    <w:rPr>
      <w:rFonts w:ascii="宋体" w:eastAsia="宋体" w:hAnsi="宋体"/>
      <w:shd w:val="clear"/>
      <w:sz w:val="20"/>
      <w:szCs w:val="20"/>
      <w:w w:val="100"/>
    </w:rPr>
  </w:style>
  <w:style w:customStyle="1" w:styleId="PO162" w:type="paragraph">
    <w:name w:val="xl74"/>
    <w:basedOn w:val="PO1"/>
    <w:qFormat/>
    <w:uiPriority w:val="162"/>
    <w:pPr>
      <w:autoSpaceDE w:val="1"/>
      <w:autoSpaceDN w:val="1"/>
      <w:jc w:val="center"/>
      <w:widowControl/>
      <w:wordWrap/>
    </w:pPr>
    <w:rPr>
      <w:color w:val="000000"/>
      <w:rFonts w:ascii="宋体" w:eastAsia="宋体" w:hAnsi="宋体"/>
      <w:shd w:val="clear"/>
      <w:sz w:val="20"/>
      <w:szCs w:val="20"/>
      <w:w w:val="100"/>
    </w:rPr>
  </w:style>
  <w:style w:customStyle="1" w:styleId="PO163" w:type="paragraph">
    <w:name w:val="xl75"/>
    <w:basedOn w:val="PO1"/>
    <w:qFormat/>
    <w:uiPriority w:val="163"/>
    <w:pPr>
      <w:autoSpaceDE w:val="1"/>
      <w:autoSpaceDN w:val="1"/>
      <w:jc w:val="center"/>
      <w:widowControl/>
      <w:wordWrap/>
    </w:pPr>
    <w:rPr>
      <w:color w:val="000000"/>
      <w:rFonts w:ascii="宋体" w:eastAsia="宋体" w:hAnsi="宋体"/>
      <w:shd w:val="clear"/>
      <w:sz w:val="20"/>
      <w:szCs w:val="20"/>
      <w:w w:val="100"/>
    </w:rPr>
  </w:style>
  <w:style w:customStyle="1" w:styleId="PO164" w:type="paragraph">
    <w:name w:val="xl76"/>
    <w:basedOn w:val="PO1"/>
    <w:qFormat/>
    <w:uiPriority w:val="164"/>
    <w:pPr>
      <w:autoSpaceDE w:val="1"/>
      <w:autoSpaceDN w:val="1"/>
      <w:widowControl/>
      <w:wordWrap/>
    </w:pPr>
    <w:rPr>
      <w:color w:val="000000"/>
      <w:rFonts w:ascii="宋体" w:eastAsia="宋体" w:hAnsi="宋体"/>
      <w:shd w:val="clear"/>
      <w:sz w:val="20"/>
      <w:szCs w:val="20"/>
      <w:w w:val="100"/>
    </w:rPr>
  </w:style>
  <w:style w:customStyle="1" w:styleId="PO165" w:type="paragraph">
    <w:name w:val="xl77"/>
    <w:basedOn w:val="PO1"/>
    <w:qFormat/>
    <w:uiPriority w:val="165"/>
    <w:pPr>
      <w:autoSpaceDE w:val="1"/>
      <w:autoSpaceDN w:val="1"/>
      <w:jc w:val="right"/>
      <w:widowControl/>
      <w:wordWrap/>
    </w:pPr>
    <w:rPr>
      <w:color w:val="000000"/>
      <w:rFonts w:ascii="宋体" w:eastAsia="宋体" w:hAnsi="宋体"/>
      <w:shd w:val="clear"/>
      <w:sz w:val="20"/>
      <w:szCs w:val="20"/>
      <w:w w:val="100"/>
    </w:rPr>
  </w:style>
  <w:style w:customStyle="1" w:styleId="PO166" w:type="paragraph">
    <w:name w:val="xl78"/>
    <w:basedOn w:val="PO1"/>
    <w:qFormat/>
    <w:uiPriority w:val="166"/>
    <w:pPr>
      <w:autoSpaceDE w:val="1"/>
      <w:autoSpaceDN w:val="1"/>
      <w:jc w:val="center"/>
      <w:widowControl/>
      <w:wordWrap/>
    </w:pPr>
    <w:rPr>
      <w:color w:val="000000"/>
      <w:rFonts w:ascii="宋体" w:eastAsia="宋体" w:hAnsi="宋体"/>
      <w:shd w:val="clear"/>
      <w:sz w:val="20"/>
      <w:szCs w:val="20"/>
      <w:w w:val="100"/>
    </w:rPr>
  </w:style>
  <w:style w:customStyle="1" w:styleId="PO167" w:type="paragraph">
    <w:name w:val="xl79"/>
    <w:basedOn w:val="PO1"/>
    <w:qFormat/>
    <w:uiPriority w:val="167"/>
    <w:pPr>
      <w:autoSpaceDE w:val="1"/>
      <w:autoSpaceDN w:val="1"/>
      <w:jc w:val="center"/>
      <w:widowControl/>
      <w:wordWrap/>
    </w:pPr>
    <w:rPr>
      <w:rFonts w:ascii="宋体" w:eastAsia="宋体" w:hAnsi="宋体"/>
      <w:b/>
      <w:shd w:val="clear"/>
      <w:sz w:val="40"/>
      <w:szCs w:val="40"/>
      <w:w w:val="100"/>
    </w:rPr>
  </w:style>
  <w:style w:customStyle="1" w:styleId="PO168" w:type="paragraph">
    <w:name w:val="xl80"/>
    <w:basedOn w:val="PO1"/>
    <w:qFormat/>
    <w:uiPriority w:val="168"/>
    <w:pPr>
      <w:autoSpaceDE w:val="1"/>
      <w:autoSpaceDN w:val="1"/>
      <w:jc w:val="center"/>
      <w:widowControl/>
      <w:wordWrap/>
    </w:pPr>
    <w:rPr>
      <w:color w:val="000000"/>
      <w:rFonts w:ascii="宋体" w:eastAsia="宋体" w:hAnsi="宋体"/>
      <w:shd w:val="clear"/>
      <w:sz w:val="20"/>
      <w:szCs w:val="20"/>
      <w:w w:val="100"/>
    </w:rPr>
  </w:style>
  <w:style w:customStyle="1" w:styleId="PO169" w:type="paragraph">
    <w:name w:val="xl81"/>
    <w:basedOn w:val="PO1"/>
    <w:qFormat/>
    <w:uiPriority w:val="169"/>
    <w:pPr>
      <w:autoSpaceDE w:val="1"/>
      <w:autoSpaceDN w:val="1"/>
      <w:jc w:val="center"/>
      <w:widowControl/>
      <w:wordWrap/>
    </w:pPr>
    <w:rPr>
      <w:color w:val="000000"/>
      <w:rFonts w:ascii="宋体" w:eastAsia="宋体" w:hAnsi="宋体"/>
      <w:shd w:val="clear"/>
      <w:sz w:val="20"/>
      <w:szCs w:val="20"/>
      <w:w w:val="100"/>
    </w:rPr>
  </w:style>
  <w:style w:customStyle="1" w:styleId="PO170" w:type="paragraph">
    <w:name w:val="xl82"/>
    <w:basedOn w:val="PO1"/>
    <w:uiPriority w:val="170"/>
    <w:pPr>
      <w:autoSpaceDE w:val="1"/>
      <w:autoSpaceDN w:val="1"/>
      <w:jc w:val="center"/>
      <w:widowControl/>
      <w:wordWrap/>
    </w:pPr>
    <w:rPr>
      <w:color w:val="000000"/>
      <w:rFonts w:ascii="宋体" w:eastAsia="宋体" w:hAnsi="宋体"/>
      <w:shd w:val="clear"/>
      <w:sz w:val="20"/>
      <w:szCs w:val="20"/>
      <w:w w:val="100"/>
    </w:rPr>
  </w:style>
  <w:style w:customStyle="1" w:styleId="PO171" w:type="paragraph">
    <w:name w:val="xl83"/>
    <w:basedOn w:val="PO1"/>
    <w:uiPriority w:val="171"/>
    <w:pPr>
      <w:autoSpaceDE w:val="1"/>
      <w:autoSpaceDN w:val="1"/>
      <w:jc w:val="center"/>
      <w:widowControl/>
      <w:wordWrap/>
    </w:pPr>
    <w:rPr>
      <w:color w:val="000000"/>
      <w:rFonts w:ascii="宋体" w:eastAsia="宋体" w:hAnsi="宋体"/>
      <w:shd w:val="clear"/>
      <w:sz w:val="20"/>
      <w:szCs w:val="20"/>
      <w:w w:val="100"/>
    </w:rPr>
  </w:style>
  <w:style w:customStyle="1" w:styleId="PO172" w:type="paragraph">
    <w:name w:val="xl84"/>
    <w:basedOn w:val="PO1"/>
    <w:uiPriority w:val="172"/>
    <w:pPr>
      <w:autoSpaceDE w:val="1"/>
      <w:autoSpaceDN w:val="1"/>
      <w:jc w:val="center"/>
      <w:widowControl/>
      <w:wordWrap/>
    </w:pPr>
    <w:rPr>
      <w:color w:val="000000"/>
      <w:rFonts w:ascii="宋体" w:eastAsia="宋体" w:hAnsi="宋体"/>
      <w:shd w:val="clear"/>
      <w:sz w:val="20"/>
      <w:szCs w:val="20"/>
      <w:w w:val="100"/>
    </w:rPr>
  </w:style>
  <w:style w:customStyle="1" w:styleId="PO173" w:type="paragraph">
    <w:name w:val="xl85"/>
    <w:basedOn w:val="PO1"/>
    <w:uiPriority w:val="173"/>
    <w:pPr>
      <w:autoSpaceDE w:val="1"/>
      <w:autoSpaceDN w:val="1"/>
      <w:jc w:val="center"/>
      <w:widowControl/>
      <w:wordWrap/>
    </w:pPr>
    <w:rPr>
      <w:color w:val="000000"/>
      <w:rFonts w:ascii="宋体" w:eastAsia="宋体" w:hAnsi="宋体"/>
      <w:shd w:val="clear"/>
      <w:sz w:val="20"/>
      <w:szCs w:val="20"/>
      <w:w w:val="100"/>
    </w:rPr>
  </w:style>
  <w:style w:customStyle="1" w:styleId="PO174" w:type="paragraph">
    <w:name w:val="xl86"/>
    <w:basedOn w:val="PO1"/>
    <w:uiPriority w:val="174"/>
    <w:pPr>
      <w:autoSpaceDE w:val="1"/>
      <w:autoSpaceDN w:val="1"/>
      <w:jc w:val="center"/>
      <w:widowControl/>
      <w:wordWrap/>
    </w:pPr>
    <w:rPr>
      <w:color w:val="000000"/>
      <w:rFonts w:ascii="宋体" w:eastAsia="宋体" w:hAnsi="宋体"/>
      <w:shd w:val="clear"/>
      <w:sz w:val="20"/>
      <w:szCs w:val="20"/>
      <w:w w:val="100"/>
    </w:rPr>
  </w:style>
  <w:style w:customStyle="1" w:styleId="PO175" w:type="paragraph">
    <w:name w:val="xl87"/>
    <w:basedOn w:val="PO1"/>
    <w:uiPriority w:val="175"/>
    <w:pPr>
      <w:autoSpaceDE w:val="1"/>
      <w:autoSpaceDN w:val="1"/>
      <w:jc w:val="center"/>
      <w:widowControl/>
      <w:wordWrap/>
    </w:pPr>
    <w:rPr>
      <w:color w:val="000000"/>
      <w:rFonts w:ascii="宋体" w:eastAsia="宋体" w:hAnsi="宋体"/>
      <w:shd w:val="clear"/>
      <w:sz w:val="20"/>
      <w:szCs w:val="20"/>
      <w:w w:val="100"/>
    </w:rPr>
  </w:style>
  <w:style w:customStyle="1" w:styleId="PO176" w:type="paragraph">
    <w:name w:val="xl88"/>
    <w:basedOn w:val="PO1"/>
    <w:uiPriority w:val="176"/>
    <w:pPr>
      <w:autoSpaceDE w:val="1"/>
      <w:autoSpaceDN w:val="1"/>
      <w:jc w:val="center"/>
      <w:widowControl/>
      <w:wordWrap/>
    </w:pPr>
    <w:rPr>
      <w:color w:val="000000"/>
      <w:rFonts w:ascii="宋体" w:eastAsia="宋体" w:hAnsi="宋体"/>
      <w:shd w:val="clear"/>
      <w:sz w:val="20"/>
      <w:szCs w:val="20"/>
      <w:w w:val="100"/>
    </w:rPr>
  </w:style>
  <w:style w:customStyle="1" w:styleId="PO177" w:type="paragraph">
    <w:name w:val="xl89"/>
    <w:basedOn w:val="PO1"/>
    <w:uiPriority w:val="177"/>
    <w:pPr>
      <w:autoSpaceDE w:val="1"/>
      <w:autoSpaceDN w:val="1"/>
      <w:jc w:val="center"/>
      <w:widowControl/>
      <w:wordWrap/>
    </w:pPr>
    <w:rPr>
      <w:color w:val="000000"/>
      <w:rFonts w:ascii="宋体" w:eastAsia="宋体" w:hAnsi="宋体"/>
      <w:shd w:val="clear"/>
      <w:sz w:val="20"/>
      <w:szCs w:val="20"/>
      <w:w w:val="100"/>
    </w:rPr>
  </w:style>
  <w:style w:customStyle="1" w:styleId="PO178" w:type="paragraph">
    <w:name w:val="xl90"/>
    <w:basedOn w:val="PO1"/>
    <w:uiPriority w:val="178"/>
    <w:pPr>
      <w:autoSpaceDE w:val="1"/>
      <w:autoSpaceDN w:val="1"/>
      <w:jc w:val="center"/>
      <w:widowControl/>
      <w:wordWrap/>
    </w:pPr>
    <w:rPr>
      <w:color w:val="000000"/>
      <w:rFonts w:ascii="宋体" w:eastAsia="宋体" w:hAnsi="宋体"/>
      <w:shd w:val="clear"/>
      <w:sz w:val="20"/>
      <w:szCs w:val="20"/>
      <w:w w:val="100"/>
    </w:rPr>
  </w:style>
  <w:style w:customStyle="1" w:styleId="PO179" w:type="paragraph">
    <w:name w:val="xl91"/>
    <w:basedOn w:val="PO1"/>
    <w:uiPriority w:val="179"/>
    <w:pPr>
      <w:autoSpaceDE w:val="1"/>
      <w:autoSpaceDN w:val="1"/>
      <w:jc w:val="center"/>
      <w:widowControl/>
      <w:wordWrap/>
    </w:pPr>
    <w:rPr>
      <w:color w:val="000000"/>
      <w:rFonts w:ascii="宋体" w:eastAsia="宋体" w:hAnsi="宋体"/>
      <w:shd w:val="clear"/>
      <w:sz w:val="20"/>
      <w:szCs w:val="20"/>
      <w:w w:val="100"/>
    </w:rPr>
  </w:style>
  <w:style w:customStyle="1" w:styleId="PO180" w:type="paragraph">
    <w:name w:val="xl92"/>
    <w:basedOn w:val="PO1"/>
    <w:uiPriority w:val="180"/>
    <w:pPr>
      <w:autoSpaceDE w:val="1"/>
      <w:autoSpaceDN w:val="1"/>
      <w:jc w:val="center"/>
      <w:widowControl/>
      <w:wordWrap/>
    </w:pPr>
    <w:rPr>
      <w:color w:val="000000"/>
      <w:rFonts w:ascii="宋体" w:eastAsia="宋体" w:hAnsi="宋体"/>
      <w:shd w:val="clear"/>
      <w:sz w:val="20"/>
      <w:szCs w:val="20"/>
      <w:w w:val="100"/>
    </w:rPr>
  </w:style>
  <w:style w:customStyle="1" w:styleId="PO181" w:type="paragraph">
    <w:name w:val="xl93"/>
    <w:basedOn w:val="PO1"/>
    <w:uiPriority w:val="181"/>
    <w:pPr>
      <w:autoSpaceDE w:val="1"/>
      <w:autoSpaceDN w:val="1"/>
      <w:jc w:val="center"/>
      <w:widowControl/>
      <w:wordWrap/>
    </w:pPr>
    <w:rPr>
      <w:color w:val="000000"/>
      <w:rFonts w:ascii="宋体" w:eastAsia="宋体" w:hAnsi="宋体"/>
      <w:shd w:val="clear"/>
      <w:sz w:val="20"/>
      <w:szCs w:val="20"/>
      <w:w w:val="100"/>
    </w:rPr>
  </w:style>
  <w:style w:customStyle="1" w:styleId="PO182" w:type="paragraph">
    <w:name w:val="xl94"/>
    <w:basedOn w:val="PO1"/>
    <w:uiPriority w:val="182"/>
    <w:pPr>
      <w:autoSpaceDE w:val="1"/>
      <w:autoSpaceDN w:val="1"/>
      <w:jc w:val="center"/>
      <w:widowControl/>
      <w:wordWrap/>
    </w:pPr>
    <w:rPr>
      <w:color w:val="000000"/>
      <w:rFonts w:ascii="宋体" w:eastAsia="宋体" w:hAnsi="宋体"/>
      <w:shd w:val="cle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137</Lines>
  <LinksUpToDate>false</LinksUpToDate>
  <Pages>36</Pages>
  <Paragraphs>38</Paragraphs>
  <Words>2900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:title>焦作市人民政府研究室</dc:title>
  <dcterms:modified xsi:type="dcterms:W3CDTF">2019-05-07T00:39:32Z</dcterms:modified>
</cp:coreProperties>
</file>